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6F82D" w14:textId="77777777" w:rsidR="0068767A" w:rsidRDefault="0068767A" w:rsidP="004030E7">
      <w:pPr>
        <w:pStyle w:val="Zpat"/>
        <w:jc w:val="center"/>
        <w:rPr>
          <w:rFonts w:ascii="Calibri" w:hAnsi="Calibri" w:cs="Calibri"/>
          <w:b/>
          <w:bCs/>
          <w:sz w:val="52"/>
          <w:szCs w:val="52"/>
        </w:rPr>
      </w:pPr>
    </w:p>
    <w:p w14:paraId="645FAD90" w14:textId="77777777" w:rsidR="0068767A" w:rsidRDefault="0068767A" w:rsidP="004030E7">
      <w:pPr>
        <w:pStyle w:val="Zpat"/>
        <w:jc w:val="center"/>
        <w:rPr>
          <w:rFonts w:ascii="Calibri" w:hAnsi="Calibri" w:cs="Calibri"/>
          <w:b/>
          <w:bCs/>
          <w:sz w:val="52"/>
          <w:szCs w:val="52"/>
        </w:rPr>
      </w:pPr>
    </w:p>
    <w:p w14:paraId="1ADF90E4" w14:textId="77777777" w:rsidR="0068767A" w:rsidRDefault="0068767A" w:rsidP="004030E7">
      <w:pPr>
        <w:pStyle w:val="Zpat"/>
        <w:jc w:val="center"/>
        <w:rPr>
          <w:rFonts w:ascii="Calibri" w:hAnsi="Calibri" w:cs="Calibri"/>
          <w:b/>
          <w:bCs/>
          <w:sz w:val="52"/>
          <w:szCs w:val="52"/>
        </w:rPr>
      </w:pPr>
    </w:p>
    <w:p w14:paraId="07A32FBC" w14:textId="77777777" w:rsidR="0068767A" w:rsidRDefault="0068767A" w:rsidP="004030E7">
      <w:pPr>
        <w:pStyle w:val="Zpat"/>
        <w:jc w:val="center"/>
        <w:rPr>
          <w:rFonts w:ascii="Calibri" w:hAnsi="Calibri" w:cs="Calibri"/>
          <w:b/>
          <w:bCs/>
          <w:sz w:val="52"/>
          <w:szCs w:val="52"/>
        </w:rPr>
      </w:pPr>
    </w:p>
    <w:p w14:paraId="6DD73A1B" w14:textId="7C00C7DF" w:rsidR="004030E7" w:rsidRPr="00B75802" w:rsidRDefault="001E6BE9" w:rsidP="004030E7">
      <w:pPr>
        <w:pStyle w:val="Zpat"/>
        <w:jc w:val="center"/>
        <w:rPr>
          <w:rFonts w:ascii="Calibri" w:hAnsi="Calibri" w:cs="Calibri"/>
          <w:b/>
          <w:bCs/>
          <w:sz w:val="52"/>
          <w:szCs w:val="52"/>
        </w:rPr>
      </w:pPr>
      <w:r>
        <w:rPr>
          <w:rFonts w:ascii="Calibri" w:hAnsi="Calibri" w:cs="Calibri"/>
          <w:b/>
          <w:bCs/>
          <w:sz w:val="52"/>
          <w:szCs w:val="52"/>
        </w:rPr>
        <w:t>Oprava bytů po povodni – Červená kolonie Bohumín – č.p. 38</w:t>
      </w:r>
      <w:r w:rsidR="00FB642F">
        <w:rPr>
          <w:rFonts w:ascii="Calibri" w:hAnsi="Calibri" w:cs="Calibri"/>
          <w:b/>
          <w:bCs/>
          <w:sz w:val="52"/>
          <w:szCs w:val="52"/>
        </w:rPr>
        <w:t>3</w:t>
      </w:r>
      <w:r>
        <w:rPr>
          <w:rFonts w:ascii="Calibri" w:hAnsi="Calibri" w:cs="Calibri"/>
          <w:b/>
          <w:bCs/>
          <w:sz w:val="52"/>
          <w:szCs w:val="52"/>
        </w:rPr>
        <w:t xml:space="preserve">, byt č. </w:t>
      </w:r>
      <w:r w:rsidR="004370B2">
        <w:rPr>
          <w:rFonts w:ascii="Calibri" w:hAnsi="Calibri" w:cs="Calibri"/>
          <w:b/>
          <w:bCs/>
          <w:sz w:val="52"/>
          <w:szCs w:val="52"/>
        </w:rPr>
        <w:t>2</w:t>
      </w:r>
    </w:p>
    <w:p w14:paraId="69341980" w14:textId="77777777" w:rsidR="00D05C62" w:rsidRPr="00AB6AD9" w:rsidRDefault="00D05C62" w:rsidP="00D05C62">
      <w:pPr>
        <w:rPr>
          <w:rFonts w:ascii="Calibri" w:eastAsia="Calibri" w:hAnsi="Calibri" w:cs="Calibri"/>
          <w:sz w:val="22"/>
          <w:szCs w:val="22"/>
        </w:rPr>
      </w:pPr>
    </w:p>
    <w:p w14:paraId="0EC33D30" w14:textId="77777777" w:rsidR="00D05C62" w:rsidRPr="00AB6AD9" w:rsidRDefault="00D05C62" w:rsidP="00D05C62">
      <w:pPr>
        <w:rPr>
          <w:rFonts w:ascii="Calibri" w:eastAsia="Calibri" w:hAnsi="Calibri" w:cs="Calibri"/>
          <w:sz w:val="22"/>
          <w:szCs w:val="22"/>
        </w:rPr>
      </w:pPr>
    </w:p>
    <w:p w14:paraId="730F0D50" w14:textId="77777777" w:rsidR="00D05C62" w:rsidRPr="00AB6AD9" w:rsidRDefault="00D05C62" w:rsidP="00D05C62">
      <w:pPr>
        <w:rPr>
          <w:rFonts w:ascii="Calibri" w:eastAsia="Calibri" w:hAnsi="Calibri" w:cs="Calibri"/>
          <w:sz w:val="22"/>
          <w:szCs w:val="22"/>
        </w:rPr>
      </w:pPr>
    </w:p>
    <w:p w14:paraId="237E9CB7" w14:textId="77777777" w:rsidR="00DF6C29" w:rsidRDefault="00DF6C29" w:rsidP="00D05C62">
      <w:pPr>
        <w:jc w:val="center"/>
        <w:rPr>
          <w:rFonts w:ascii="Calibri" w:hAnsi="Calibri" w:cs="Calibri"/>
          <w:b/>
          <w:bCs/>
          <w:sz w:val="32"/>
          <w:szCs w:val="32"/>
        </w:rPr>
      </w:pPr>
    </w:p>
    <w:p w14:paraId="4B4EECA0" w14:textId="77777777" w:rsidR="00DF6C29" w:rsidRDefault="00DF6C29" w:rsidP="00D05C62">
      <w:pPr>
        <w:jc w:val="center"/>
        <w:rPr>
          <w:rFonts w:ascii="Calibri" w:hAnsi="Calibri" w:cs="Calibri"/>
          <w:b/>
          <w:bCs/>
          <w:sz w:val="32"/>
          <w:szCs w:val="32"/>
        </w:rPr>
      </w:pPr>
    </w:p>
    <w:p w14:paraId="2DD88F4B" w14:textId="77777777" w:rsidR="00DF6C29" w:rsidRDefault="00DF6C29" w:rsidP="004030E7">
      <w:pPr>
        <w:rPr>
          <w:rFonts w:ascii="Calibri" w:hAnsi="Calibri" w:cs="Calibri"/>
          <w:b/>
          <w:bCs/>
          <w:sz w:val="32"/>
          <w:szCs w:val="32"/>
        </w:rPr>
      </w:pPr>
    </w:p>
    <w:p w14:paraId="67FDE990" w14:textId="305BEDC0" w:rsidR="00DF6C29" w:rsidRDefault="00DF6C29" w:rsidP="00D05C62">
      <w:pPr>
        <w:jc w:val="center"/>
        <w:rPr>
          <w:rFonts w:ascii="Calibri" w:hAnsi="Calibri" w:cs="Calibri"/>
          <w:b/>
          <w:bCs/>
          <w:sz w:val="32"/>
          <w:szCs w:val="32"/>
        </w:rPr>
      </w:pPr>
    </w:p>
    <w:p w14:paraId="1750A296" w14:textId="77777777" w:rsidR="00DF6C29" w:rsidRDefault="00DF6C29" w:rsidP="00D05C62">
      <w:pPr>
        <w:jc w:val="center"/>
        <w:rPr>
          <w:rFonts w:ascii="Calibri" w:hAnsi="Calibri" w:cs="Calibri"/>
          <w:b/>
          <w:bCs/>
          <w:sz w:val="32"/>
          <w:szCs w:val="32"/>
        </w:rPr>
      </w:pPr>
    </w:p>
    <w:p w14:paraId="0B7A1802" w14:textId="77777777" w:rsidR="00DF6C29" w:rsidRDefault="00DF6C29" w:rsidP="00D05C62">
      <w:pPr>
        <w:jc w:val="center"/>
        <w:rPr>
          <w:rFonts w:ascii="Calibri" w:hAnsi="Calibri" w:cs="Calibri"/>
          <w:b/>
          <w:bCs/>
          <w:sz w:val="32"/>
          <w:szCs w:val="32"/>
        </w:rPr>
      </w:pPr>
    </w:p>
    <w:p w14:paraId="65F7AB16" w14:textId="77777777" w:rsidR="00DF6C29" w:rsidRDefault="00DF6C29" w:rsidP="00D05C62">
      <w:pPr>
        <w:jc w:val="center"/>
        <w:rPr>
          <w:rFonts w:ascii="Calibri" w:hAnsi="Calibri" w:cs="Calibri"/>
          <w:b/>
          <w:bCs/>
          <w:sz w:val="32"/>
          <w:szCs w:val="32"/>
        </w:rPr>
      </w:pPr>
    </w:p>
    <w:p w14:paraId="696B6B31" w14:textId="77777777" w:rsidR="00DF6C29" w:rsidRDefault="00DF6C29" w:rsidP="00D05C62">
      <w:pPr>
        <w:jc w:val="center"/>
        <w:rPr>
          <w:rFonts w:ascii="Calibri" w:hAnsi="Calibri" w:cs="Calibri"/>
          <w:b/>
          <w:bCs/>
          <w:sz w:val="32"/>
          <w:szCs w:val="32"/>
        </w:rPr>
      </w:pPr>
    </w:p>
    <w:p w14:paraId="6682EA4B" w14:textId="2323FC5E" w:rsidR="00D05C62" w:rsidRPr="001E6BE9" w:rsidRDefault="001E6BE9" w:rsidP="00D05C62">
      <w:pPr>
        <w:jc w:val="center"/>
        <w:rPr>
          <w:rFonts w:ascii="Calibri" w:eastAsia="Calibri" w:hAnsi="Calibri" w:cs="Calibri"/>
          <w:b/>
          <w:bCs/>
          <w:sz w:val="36"/>
          <w:szCs w:val="36"/>
        </w:rPr>
      </w:pPr>
      <w:r w:rsidRPr="001E6BE9">
        <w:rPr>
          <w:rFonts w:ascii="Calibri" w:hAnsi="Calibri" w:cs="Calibri"/>
          <w:b/>
          <w:bCs/>
          <w:sz w:val="36"/>
          <w:szCs w:val="36"/>
        </w:rPr>
        <w:t xml:space="preserve">TECHNICKÝ POPIS </w:t>
      </w:r>
    </w:p>
    <w:p w14:paraId="47633722" w14:textId="77777777" w:rsidR="00D05C62" w:rsidRPr="00AB6AD9" w:rsidRDefault="00D05C62" w:rsidP="00D05C62">
      <w:pPr>
        <w:jc w:val="center"/>
        <w:rPr>
          <w:rFonts w:ascii="Calibri" w:eastAsia="Calibri" w:hAnsi="Calibri" w:cs="Calibri"/>
          <w:sz w:val="22"/>
          <w:szCs w:val="22"/>
        </w:rPr>
      </w:pPr>
    </w:p>
    <w:p w14:paraId="6DDE5B4D" w14:textId="77777777" w:rsidR="00D05C62" w:rsidRPr="00AB6AD9" w:rsidRDefault="00D05C62" w:rsidP="00D05C62">
      <w:pPr>
        <w:rPr>
          <w:rFonts w:ascii="Calibri" w:eastAsia="Calibri" w:hAnsi="Calibri" w:cs="Calibri"/>
          <w:sz w:val="22"/>
          <w:szCs w:val="22"/>
        </w:rPr>
      </w:pPr>
    </w:p>
    <w:p w14:paraId="06618A58" w14:textId="77777777" w:rsidR="00D05C62" w:rsidRDefault="00D05C62" w:rsidP="00D05C62">
      <w:pPr>
        <w:rPr>
          <w:rFonts w:ascii="Calibri" w:eastAsia="Calibri" w:hAnsi="Calibri" w:cs="Calibri"/>
          <w:sz w:val="22"/>
          <w:szCs w:val="22"/>
        </w:rPr>
      </w:pPr>
    </w:p>
    <w:p w14:paraId="22D14C43" w14:textId="77777777" w:rsidR="00156AA1" w:rsidRDefault="00156AA1" w:rsidP="00D05C62">
      <w:pPr>
        <w:rPr>
          <w:rFonts w:ascii="Calibri" w:eastAsia="Calibri" w:hAnsi="Calibri" w:cs="Calibri"/>
          <w:sz w:val="22"/>
          <w:szCs w:val="22"/>
        </w:rPr>
      </w:pPr>
    </w:p>
    <w:p w14:paraId="6351E88F" w14:textId="77777777" w:rsidR="00156AA1" w:rsidRDefault="00156AA1" w:rsidP="00D05C62">
      <w:pPr>
        <w:rPr>
          <w:rFonts w:ascii="Calibri" w:eastAsia="Calibri" w:hAnsi="Calibri" w:cs="Calibri"/>
          <w:sz w:val="22"/>
          <w:szCs w:val="22"/>
        </w:rPr>
      </w:pPr>
    </w:p>
    <w:p w14:paraId="15336028" w14:textId="77777777" w:rsidR="001E6BE9" w:rsidRDefault="001E6BE9" w:rsidP="00D05C62">
      <w:pPr>
        <w:rPr>
          <w:rFonts w:ascii="Calibri" w:eastAsia="Calibri" w:hAnsi="Calibri" w:cs="Calibri"/>
          <w:sz w:val="22"/>
          <w:szCs w:val="22"/>
        </w:rPr>
      </w:pPr>
    </w:p>
    <w:p w14:paraId="6DA4C3ED" w14:textId="77777777" w:rsidR="001E6BE9" w:rsidRDefault="001E6BE9" w:rsidP="00D05C62">
      <w:pPr>
        <w:rPr>
          <w:rFonts w:ascii="Calibri" w:eastAsia="Calibri" w:hAnsi="Calibri" w:cs="Calibri"/>
          <w:sz w:val="22"/>
          <w:szCs w:val="22"/>
        </w:rPr>
      </w:pPr>
    </w:p>
    <w:p w14:paraId="64E3FEE4" w14:textId="77777777" w:rsidR="001E6BE9" w:rsidRDefault="001E6BE9" w:rsidP="00D05C62">
      <w:pPr>
        <w:rPr>
          <w:rFonts w:ascii="Calibri" w:eastAsia="Calibri" w:hAnsi="Calibri" w:cs="Calibri"/>
          <w:sz w:val="22"/>
          <w:szCs w:val="22"/>
        </w:rPr>
      </w:pPr>
    </w:p>
    <w:p w14:paraId="1C971DD4" w14:textId="77777777" w:rsidR="00156AA1" w:rsidRDefault="00156AA1" w:rsidP="00D05C62">
      <w:pPr>
        <w:rPr>
          <w:rFonts w:ascii="Calibri" w:eastAsia="Calibri" w:hAnsi="Calibri" w:cs="Calibri"/>
          <w:sz w:val="22"/>
          <w:szCs w:val="22"/>
        </w:rPr>
      </w:pPr>
    </w:p>
    <w:p w14:paraId="6704FEB3" w14:textId="77777777" w:rsidR="00DF6C29" w:rsidRPr="00AB6AD9" w:rsidRDefault="00DF6C29" w:rsidP="00D05C62">
      <w:pPr>
        <w:rPr>
          <w:rFonts w:ascii="Calibri" w:eastAsia="Calibri" w:hAnsi="Calibri" w:cs="Calibri"/>
          <w:sz w:val="22"/>
          <w:szCs w:val="22"/>
        </w:rPr>
      </w:pPr>
    </w:p>
    <w:p w14:paraId="452DE7DD" w14:textId="351D084C" w:rsidR="00B866F0" w:rsidRDefault="00B866F0" w:rsidP="00B866F0">
      <w:pPr>
        <w:pStyle w:val="Stednmka21"/>
        <w:tabs>
          <w:tab w:val="left" w:pos="2977"/>
        </w:tabs>
        <w:ind w:left="2970" w:hanging="2970"/>
        <w:jc w:val="left"/>
        <w:rPr>
          <w:rFonts w:ascii="Calibri" w:hAnsi="Calibri" w:cs="Calibri"/>
          <w:sz w:val="22"/>
          <w:szCs w:val="22"/>
          <w:lang w:eastAsia="en-US"/>
        </w:rPr>
      </w:pPr>
      <w:r w:rsidRPr="00AB6AD9">
        <w:rPr>
          <w:rFonts w:ascii="Calibri" w:hAnsi="Calibri" w:cs="Calibri"/>
          <w:color w:val="auto"/>
          <w:sz w:val="22"/>
          <w:szCs w:val="22"/>
        </w:rPr>
        <w:t>Objednatel:</w:t>
      </w:r>
      <w:r w:rsidRPr="00AB6AD9">
        <w:rPr>
          <w:rFonts w:ascii="Calibri" w:hAnsi="Calibri" w:cs="Calibri"/>
          <w:color w:val="auto"/>
          <w:sz w:val="22"/>
          <w:szCs w:val="22"/>
        </w:rPr>
        <w:tab/>
      </w:r>
      <w:r w:rsidRPr="00AB6AD9">
        <w:rPr>
          <w:rFonts w:ascii="Calibri" w:hAnsi="Calibri" w:cs="Calibri"/>
          <w:color w:val="auto"/>
          <w:sz w:val="22"/>
          <w:szCs w:val="22"/>
        </w:rPr>
        <w:tab/>
      </w:r>
      <w:r w:rsidR="001E6BE9">
        <w:rPr>
          <w:rFonts w:ascii="Calibri" w:hAnsi="Calibri" w:cs="Calibri"/>
          <w:b/>
          <w:bCs/>
          <w:sz w:val="22"/>
          <w:szCs w:val="22"/>
          <w:lang w:eastAsia="en-US"/>
        </w:rPr>
        <w:t>Město Bohumín</w:t>
      </w:r>
    </w:p>
    <w:p w14:paraId="0D24EBAB" w14:textId="0D8C3DB0" w:rsidR="00B866F0" w:rsidRPr="00AB6AD9" w:rsidRDefault="00B866F0" w:rsidP="00B866F0">
      <w:pPr>
        <w:pStyle w:val="Stednmka21"/>
        <w:tabs>
          <w:tab w:val="left" w:pos="2977"/>
        </w:tabs>
        <w:ind w:left="2832" w:hanging="2832"/>
        <w:rPr>
          <w:rFonts w:ascii="Calibri" w:hAnsi="Calibri" w:cs="Calibri"/>
          <w:sz w:val="22"/>
          <w:szCs w:val="22"/>
          <w:lang w:eastAsia="en-US"/>
        </w:rPr>
      </w:pPr>
      <w:r w:rsidRPr="00AB6AD9">
        <w:rPr>
          <w:rFonts w:ascii="Calibri" w:hAnsi="Calibri" w:cs="Calibri"/>
          <w:color w:val="auto"/>
          <w:sz w:val="22"/>
          <w:szCs w:val="22"/>
        </w:rPr>
        <w:t>Se sídlem:</w:t>
      </w:r>
      <w:r>
        <w:rPr>
          <w:rFonts w:ascii="Calibri" w:hAnsi="Calibri" w:cs="Calibri"/>
          <w:sz w:val="22"/>
          <w:szCs w:val="22"/>
          <w:lang w:eastAsia="en-US"/>
        </w:rPr>
        <w:tab/>
      </w:r>
      <w:r>
        <w:rPr>
          <w:rFonts w:ascii="Calibri" w:hAnsi="Calibri" w:cs="Calibri"/>
          <w:sz w:val="22"/>
          <w:szCs w:val="22"/>
          <w:lang w:eastAsia="en-US"/>
        </w:rPr>
        <w:tab/>
      </w:r>
      <w:r w:rsidR="001E6BE9">
        <w:rPr>
          <w:rFonts w:ascii="Calibri" w:hAnsi="Calibri" w:cs="Calibri"/>
          <w:sz w:val="22"/>
          <w:szCs w:val="22"/>
          <w:lang w:eastAsia="en-US"/>
        </w:rPr>
        <w:t>Masarykova 158, 735 81 Bohumín</w:t>
      </w:r>
    </w:p>
    <w:p w14:paraId="5C71C58D" w14:textId="77777777" w:rsidR="00B866F0" w:rsidRPr="00AB6AD9" w:rsidRDefault="00B866F0" w:rsidP="00B866F0">
      <w:pPr>
        <w:pStyle w:val="Stednmka21"/>
        <w:tabs>
          <w:tab w:val="left" w:pos="2977"/>
        </w:tabs>
        <w:ind w:left="2832" w:hanging="2832"/>
        <w:rPr>
          <w:rFonts w:ascii="Calibri" w:eastAsia="Calibri" w:hAnsi="Calibri" w:cs="Calibri"/>
          <w:sz w:val="22"/>
          <w:szCs w:val="22"/>
        </w:rPr>
      </w:pPr>
    </w:p>
    <w:p w14:paraId="13B4A88A" w14:textId="77777777" w:rsidR="00B866F0" w:rsidRPr="00AB6AD9" w:rsidRDefault="00B866F0" w:rsidP="00B866F0">
      <w:pPr>
        <w:tabs>
          <w:tab w:val="left" w:pos="426"/>
          <w:tab w:val="left" w:pos="1980"/>
          <w:tab w:val="left" w:pos="2977"/>
        </w:tabs>
        <w:rPr>
          <w:rFonts w:ascii="Calibri" w:eastAsia="Calibri" w:hAnsi="Calibri" w:cs="Calibri"/>
          <w:sz w:val="22"/>
          <w:szCs w:val="22"/>
        </w:rPr>
      </w:pPr>
      <w:r w:rsidRPr="00AB6AD9">
        <w:rPr>
          <w:rFonts w:ascii="Calibri" w:hAnsi="Calibri" w:cs="Calibri"/>
          <w:sz w:val="22"/>
          <w:szCs w:val="22"/>
        </w:rPr>
        <w:t>Zhotovitel:</w:t>
      </w:r>
      <w:r w:rsidRPr="00AB6AD9">
        <w:rPr>
          <w:rFonts w:ascii="Calibri" w:hAnsi="Calibri" w:cs="Calibri"/>
          <w:sz w:val="22"/>
          <w:szCs w:val="22"/>
        </w:rPr>
        <w:tab/>
      </w:r>
      <w:r w:rsidRPr="00AB6AD9">
        <w:rPr>
          <w:rFonts w:ascii="Calibri" w:hAnsi="Calibri" w:cs="Calibri"/>
          <w:sz w:val="22"/>
          <w:szCs w:val="22"/>
        </w:rPr>
        <w:tab/>
      </w:r>
      <w:r w:rsidRPr="00AB6AD9">
        <w:rPr>
          <w:rFonts w:ascii="Calibri" w:hAnsi="Calibri" w:cs="Calibri"/>
          <w:b/>
          <w:bCs/>
          <w:sz w:val="22"/>
          <w:szCs w:val="22"/>
        </w:rPr>
        <w:t>ATRIS, s.r.o.</w:t>
      </w:r>
    </w:p>
    <w:p w14:paraId="14B26258" w14:textId="77777777" w:rsidR="00B866F0" w:rsidRPr="00AB6AD9" w:rsidRDefault="00B866F0" w:rsidP="00B866F0">
      <w:pPr>
        <w:tabs>
          <w:tab w:val="left" w:pos="426"/>
          <w:tab w:val="left" w:pos="1980"/>
          <w:tab w:val="left" w:pos="2977"/>
        </w:tabs>
        <w:rPr>
          <w:rFonts w:ascii="Calibri" w:eastAsia="Calibri" w:hAnsi="Calibri" w:cs="Calibri"/>
          <w:sz w:val="22"/>
          <w:szCs w:val="22"/>
        </w:rPr>
      </w:pPr>
      <w:r w:rsidRPr="00AB6AD9">
        <w:rPr>
          <w:rFonts w:ascii="Calibri" w:hAnsi="Calibri" w:cs="Calibri"/>
          <w:sz w:val="22"/>
          <w:szCs w:val="22"/>
        </w:rPr>
        <w:t xml:space="preserve">Místo podnikání: </w:t>
      </w:r>
      <w:r w:rsidRPr="00AB6AD9">
        <w:rPr>
          <w:rFonts w:ascii="Calibri" w:hAnsi="Calibri" w:cs="Calibri"/>
          <w:sz w:val="22"/>
          <w:szCs w:val="22"/>
        </w:rPr>
        <w:tab/>
      </w:r>
      <w:r w:rsidRPr="00AB6AD9">
        <w:rPr>
          <w:rFonts w:ascii="Calibri" w:hAnsi="Calibri" w:cs="Calibri"/>
          <w:sz w:val="22"/>
          <w:szCs w:val="22"/>
        </w:rPr>
        <w:tab/>
        <w:t>Občanská 1116/18, 710 00 Ostrava – Slezská Ostrava</w:t>
      </w:r>
    </w:p>
    <w:p w14:paraId="1A7383E4" w14:textId="77777777" w:rsidR="00B866F0" w:rsidRPr="00AB6AD9" w:rsidRDefault="00B866F0" w:rsidP="00B866F0">
      <w:pPr>
        <w:tabs>
          <w:tab w:val="left" w:pos="426"/>
          <w:tab w:val="left" w:pos="1980"/>
          <w:tab w:val="left" w:pos="2977"/>
        </w:tabs>
        <w:rPr>
          <w:rFonts w:ascii="Calibri" w:eastAsia="Calibri" w:hAnsi="Calibri" w:cs="Calibri"/>
          <w:sz w:val="22"/>
          <w:szCs w:val="22"/>
        </w:rPr>
      </w:pPr>
    </w:p>
    <w:p w14:paraId="666423FA" w14:textId="37CB80DF" w:rsidR="0083082D" w:rsidRDefault="00B866F0" w:rsidP="00B866F0">
      <w:pPr>
        <w:spacing w:line="288" w:lineRule="auto"/>
        <w:ind w:left="2977" w:hanging="2977"/>
        <w:jc w:val="left"/>
      </w:pPr>
      <w:r w:rsidRPr="00AB6AD9">
        <w:rPr>
          <w:rFonts w:ascii="Calibri" w:hAnsi="Calibri" w:cs="Calibri"/>
          <w:sz w:val="22"/>
          <w:szCs w:val="22"/>
        </w:rPr>
        <w:t>Stavební parcela:</w:t>
      </w:r>
      <w:r w:rsidRPr="00AB6AD9">
        <w:rPr>
          <w:rFonts w:ascii="Calibri" w:hAnsi="Calibri" w:cs="Calibri"/>
          <w:sz w:val="22"/>
          <w:szCs w:val="22"/>
        </w:rPr>
        <w:tab/>
      </w:r>
      <w:proofErr w:type="spellStart"/>
      <w:r w:rsidRPr="00AB6AD9">
        <w:rPr>
          <w:rFonts w:ascii="Calibri" w:hAnsi="Calibri" w:cs="Calibri"/>
          <w:bCs/>
          <w:sz w:val="22"/>
          <w:szCs w:val="22"/>
        </w:rPr>
        <w:t>parc</w:t>
      </w:r>
      <w:proofErr w:type="spellEnd"/>
      <w:r w:rsidRPr="00AB6AD9">
        <w:rPr>
          <w:rFonts w:ascii="Calibri" w:hAnsi="Calibri" w:cs="Calibri"/>
          <w:bCs/>
          <w:sz w:val="22"/>
          <w:szCs w:val="22"/>
        </w:rPr>
        <w:t>. č</w:t>
      </w:r>
      <w:r>
        <w:rPr>
          <w:rFonts w:ascii="Calibri" w:hAnsi="Calibri" w:cs="Calibri"/>
          <w:bCs/>
          <w:sz w:val="22"/>
          <w:szCs w:val="22"/>
        </w:rPr>
        <w:t xml:space="preserve">. </w:t>
      </w:r>
      <w:r w:rsidR="00FB642F">
        <w:rPr>
          <w:rFonts w:ascii="Calibri" w:hAnsi="Calibri" w:cs="Calibri"/>
          <w:bCs/>
          <w:sz w:val="22"/>
          <w:szCs w:val="22"/>
        </w:rPr>
        <w:t>786/3</w:t>
      </w:r>
      <w:r>
        <w:rPr>
          <w:rFonts w:ascii="Calibri" w:hAnsi="Calibri" w:cs="Calibri"/>
          <w:bCs/>
          <w:sz w:val="22"/>
          <w:szCs w:val="22"/>
        </w:rPr>
        <w:t xml:space="preserve">, </w:t>
      </w:r>
      <w:proofErr w:type="spellStart"/>
      <w:r>
        <w:rPr>
          <w:rFonts w:ascii="Calibri" w:hAnsi="Calibri" w:cs="Calibri"/>
          <w:bCs/>
          <w:sz w:val="22"/>
          <w:szCs w:val="22"/>
        </w:rPr>
        <w:t>k.ú</w:t>
      </w:r>
      <w:proofErr w:type="spellEnd"/>
      <w:r>
        <w:rPr>
          <w:rFonts w:ascii="Calibri" w:hAnsi="Calibri" w:cs="Calibri"/>
          <w:bCs/>
          <w:sz w:val="22"/>
          <w:szCs w:val="22"/>
        </w:rPr>
        <w:t xml:space="preserve">. </w:t>
      </w:r>
      <w:r w:rsidR="001E6BE9">
        <w:rPr>
          <w:rFonts w:ascii="Calibri" w:hAnsi="Calibri" w:cs="Calibri"/>
          <w:bCs/>
          <w:sz w:val="22"/>
          <w:szCs w:val="22"/>
        </w:rPr>
        <w:t>Nový Bohumín</w:t>
      </w:r>
      <w:r w:rsidR="0083082D">
        <w:rPr>
          <w:rFonts w:ascii="Arial Unicode MS" w:hAnsi="Arial Unicode MS"/>
          <w:sz w:val="32"/>
          <w:szCs w:val="32"/>
        </w:rPr>
        <w:br w:type="page"/>
      </w:r>
    </w:p>
    <w:p w14:paraId="2AC50E8E" w14:textId="77777777" w:rsidR="00055F61" w:rsidRPr="00C55F00" w:rsidRDefault="00055F61" w:rsidP="00055F61">
      <w:pPr>
        <w:numPr>
          <w:ilvl w:val="0"/>
          <w:numId w:val="4"/>
        </w:numPr>
        <w:spacing w:line="288" w:lineRule="auto"/>
        <w:rPr>
          <w:rFonts w:ascii="Calibri" w:hAnsi="Calibri" w:cs="Calibri"/>
          <w:b/>
          <w:bCs/>
          <w:sz w:val="22"/>
          <w:szCs w:val="22"/>
        </w:rPr>
      </w:pPr>
      <w:bookmarkStart w:id="0" w:name="_Toc124429001"/>
      <w:r>
        <w:rPr>
          <w:rFonts w:ascii="Calibri" w:hAnsi="Calibri" w:cs="Calibri"/>
          <w:b/>
          <w:bCs/>
          <w:sz w:val="22"/>
          <w:szCs w:val="22"/>
          <w:u w:val="single"/>
        </w:rPr>
        <w:lastRenderedPageBreak/>
        <w:t>Identifikační údaje stavby</w:t>
      </w:r>
    </w:p>
    <w:tbl>
      <w:tblPr>
        <w:tblStyle w:val="TableNormal"/>
        <w:tblW w:w="9187" w:type="dxa"/>
        <w:tblInd w:w="78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26"/>
        <w:gridCol w:w="7061"/>
      </w:tblGrid>
      <w:tr w:rsidR="00055F61" w:rsidRPr="00AB6AD9" w14:paraId="05BA3C8F"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bookmarkEnd w:id="0"/>
          <w:p w14:paraId="64CC242B"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 xml:space="preserve">Název </w:t>
            </w:r>
            <w:r>
              <w:rPr>
                <w:rFonts w:ascii="Calibri" w:hAnsi="Calibri" w:cs="Calibri"/>
                <w:sz w:val="22"/>
                <w:szCs w:val="22"/>
              </w:rPr>
              <w:t>stavby</w:t>
            </w:r>
            <w:r w:rsidRPr="00AB6AD9">
              <w:rPr>
                <w:rFonts w:ascii="Calibri" w:hAnsi="Calibri" w:cs="Calibri"/>
                <w:sz w:val="22"/>
                <w:szCs w:val="22"/>
              </w:rPr>
              <w:t>:</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6946383" w14:textId="4E1E888B" w:rsidR="00055F61" w:rsidRPr="00AB6AD9" w:rsidRDefault="001E6BE9" w:rsidP="00ED6395">
            <w:pPr>
              <w:spacing w:line="288" w:lineRule="auto"/>
              <w:rPr>
                <w:rFonts w:ascii="Calibri" w:eastAsia="Calibri" w:hAnsi="Calibri" w:cs="Calibri"/>
                <w:b/>
                <w:sz w:val="22"/>
                <w:szCs w:val="22"/>
              </w:rPr>
            </w:pPr>
            <w:r>
              <w:rPr>
                <w:rFonts w:ascii="Calibri" w:hAnsi="Calibri" w:cs="Calibri"/>
                <w:b/>
                <w:bCs/>
                <w:sz w:val="22"/>
                <w:szCs w:val="22"/>
              </w:rPr>
              <w:t>Oprava bytů po povodni – Červená kolonie, Bohumín</w:t>
            </w:r>
          </w:p>
        </w:tc>
      </w:tr>
      <w:tr w:rsidR="00055F61" w:rsidRPr="00AB6AD9" w14:paraId="08991A33" w14:textId="77777777" w:rsidTr="009C68A1">
        <w:trPr>
          <w:trHeight w:val="568"/>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4B1F49E"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 xml:space="preserve"> Místo stavby:</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18C25F5" w14:textId="706D4520" w:rsidR="00055F61" w:rsidRPr="00AB6AD9" w:rsidRDefault="001E6BE9" w:rsidP="00E771C1">
            <w:pPr>
              <w:spacing w:line="288" w:lineRule="auto"/>
              <w:rPr>
                <w:rFonts w:ascii="Calibri" w:hAnsi="Calibri" w:cs="Calibri"/>
                <w:sz w:val="22"/>
                <w:szCs w:val="22"/>
              </w:rPr>
            </w:pPr>
            <w:proofErr w:type="spellStart"/>
            <w:r w:rsidRPr="00AB6AD9">
              <w:rPr>
                <w:rFonts w:ascii="Calibri" w:hAnsi="Calibri" w:cs="Calibri"/>
                <w:bCs/>
                <w:sz w:val="22"/>
                <w:szCs w:val="22"/>
              </w:rPr>
              <w:t>parc</w:t>
            </w:r>
            <w:proofErr w:type="spellEnd"/>
            <w:r w:rsidRPr="00AB6AD9">
              <w:rPr>
                <w:rFonts w:ascii="Calibri" w:hAnsi="Calibri" w:cs="Calibri"/>
                <w:bCs/>
                <w:sz w:val="22"/>
                <w:szCs w:val="22"/>
              </w:rPr>
              <w:t>. č</w:t>
            </w:r>
            <w:r>
              <w:rPr>
                <w:rFonts w:ascii="Calibri" w:hAnsi="Calibri" w:cs="Calibri"/>
                <w:bCs/>
                <w:sz w:val="22"/>
                <w:szCs w:val="22"/>
              </w:rPr>
              <w:t xml:space="preserve">. </w:t>
            </w:r>
            <w:r w:rsidR="00FB642F">
              <w:rPr>
                <w:rFonts w:ascii="Calibri" w:hAnsi="Calibri" w:cs="Calibri"/>
                <w:bCs/>
                <w:sz w:val="22"/>
                <w:szCs w:val="22"/>
              </w:rPr>
              <w:t>786/3</w:t>
            </w:r>
            <w:r>
              <w:rPr>
                <w:rFonts w:ascii="Calibri" w:hAnsi="Calibri" w:cs="Calibri"/>
                <w:bCs/>
                <w:sz w:val="22"/>
                <w:szCs w:val="22"/>
              </w:rPr>
              <w:t xml:space="preserve">, </w:t>
            </w:r>
            <w:proofErr w:type="spellStart"/>
            <w:r>
              <w:rPr>
                <w:rFonts w:ascii="Calibri" w:hAnsi="Calibri" w:cs="Calibri"/>
                <w:bCs/>
                <w:sz w:val="22"/>
                <w:szCs w:val="22"/>
              </w:rPr>
              <w:t>k.ú</w:t>
            </w:r>
            <w:proofErr w:type="spellEnd"/>
            <w:r>
              <w:rPr>
                <w:rFonts w:ascii="Calibri" w:hAnsi="Calibri" w:cs="Calibri"/>
                <w:bCs/>
                <w:sz w:val="22"/>
                <w:szCs w:val="22"/>
              </w:rPr>
              <w:t>. Nový Bohumín</w:t>
            </w:r>
          </w:p>
        </w:tc>
      </w:tr>
      <w:tr w:rsidR="00055F61" w:rsidRPr="00AB6AD9" w14:paraId="316C48F2"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633E2B6"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Datum zpracování</w:t>
            </w:r>
            <w:r>
              <w:rPr>
                <w:rFonts w:ascii="Calibri" w:hAnsi="Calibri" w:cs="Calibri"/>
                <w:sz w:val="22"/>
                <w:szCs w:val="22"/>
              </w:rPr>
              <w:t>:</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F8D0E5A" w14:textId="45A87EC5" w:rsidR="00055F61" w:rsidRPr="00AB6AD9" w:rsidRDefault="001E6BE9" w:rsidP="00ED6395">
            <w:pPr>
              <w:spacing w:line="288" w:lineRule="auto"/>
              <w:rPr>
                <w:rFonts w:ascii="Calibri" w:hAnsi="Calibri" w:cs="Calibri"/>
                <w:sz w:val="22"/>
                <w:szCs w:val="22"/>
              </w:rPr>
            </w:pPr>
            <w:r>
              <w:rPr>
                <w:rFonts w:ascii="Calibri" w:hAnsi="Calibri" w:cs="Calibri"/>
                <w:sz w:val="22"/>
                <w:szCs w:val="22"/>
              </w:rPr>
              <w:t>11/2024</w:t>
            </w:r>
          </w:p>
        </w:tc>
      </w:tr>
      <w:tr w:rsidR="00055F61" w:rsidRPr="00AB6AD9" w14:paraId="47456855"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23732E0" w14:textId="77777777" w:rsidR="00055F61" w:rsidRDefault="00055F61" w:rsidP="00055F61">
            <w:pPr>
              <w:spacing w:line="288" w:lineRule="auto"/>
              <w:jc w:val="left"/>
              <w:rPr>
                <w:rFonts w:ascii="Calibri" w:hAnsi="Calibri" w:cs="Calibri"/>
                <w:sz w:val="22"/>
                <w:szCs w:val="22"/>
              </w:rPr>
            </w:pPr>
            <w:r w:rsidRPr="00AB6AD9">
              <w:rPr>
                <w:rFonts w:ascii="Calibri" w:hAnsi="Calibri" w:cs="Calibri"/>
                <w:sz w:val="22"/>
                <w:szCs w:val="22"/>
              </w:rPr>
              <w:t>Jméno (název), IČ, sídlo (adresa)</w:t>
            </w:r>
            <w:r>
              <w:rPr>
                <w:rFonts w:ascii="Calibri" w:hAnsi="Calibri" w:cs="Calibri"/>
                <w:sz w:val="22"/>
                <w:szCs w:val="22"/>
              </w:rPr>
              <w:t xml:space="preserve"> stavebníka:</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519B3BB" w14:textId="615BA2EF" w:rsidR="00055F61" w:rsidRDefault="001E6BE9" w:rsidP="00B866F0">
            <w:pPr>
              <w:spacing w:line="288" w:lineRule="auto"/>
              <w:rPr>
                <w:rFonts w:ascii="Calibri" w:hAnsi="Calibri" w:cs="Calibri"/>
                <w:sz w:val="22"/>
                <w:szCs w:val="22"/>
              </w:rPr>
            </w:pPr>
            <w:r>
              <w:rPr>
                <w:rFonts w:ascii="Calibri" w:hAnsi="Calibri" w:cs="Calibri"/>
                <w:sz w:val="22"/>
                <w:szCs w:val="22"/>
              </w:rPr>
              <w:t>Město Bohumín</w:t>
            </w:r>
          </w:p>
          <w:p w14:paraId="44EBB46F" w14:textId="2EEAB523" w:rsidR="00156AA1" w:rsidRDefault="001E6BE9" w:rsidP="00B866F0">
            <w:pPr>
              <w:spacing w:line="288" w:lineRule="auto"/>
              <w:rPr>
                <w:rFonts w:ascii="Calibri" w:hAnsi="Calibri" w:cs="Calibri"/>
                <w:sz w:val="22"/>
                <w:szCs w:val="22"/>
              </w:rPr>
            </w:pPr>
            <w:r>
              <w:rPr>
                <w:rFonts w:ascii="Calibri" w:hAnsi="Calibri" w:cs="Calibri"/>
                <w:sz w:val="22"/>
                <w:szCs w:val="22"/>
              </w:rPr>
              <w:t>Masarykova 158, 735 81. Bohumín</w:t>
            </w:r>
          </w:p>
          <w:p w14:paraId="76D0E746" w14:textId="0FE1D3DE" w:rsidR="00156AA1" w:rsidRDefault="00156AA1" w:rsidP="00B866F0">
            <w:pPr>
              <w:spacing w:line="288" w:lineRule="auto"/>
              <w:rPr>
                <w:rFonts w:ascii="Calibri" w:hAnsi="Calibri" w:cs="Calibri"/>
                <w:sz w:val="22"/>
                <w:szCs w:val="22"/>
              </w:rPr>
            </w:pPr>
            <w:r>
              <w:rPr>
                <w:rFonts w:ascii="Calibri" w:hAnsi="Calibri" w:cs="Calibri"/>
                <w:sz w:val="22"/>
                <w:szCs w:val="22"/>
              </w:rPr>
              <w:t>IČ 00494241</w:t>
            </w:r>
          </w:p>
        </w:tc>
      </w:tr>
      <w:tr w:rsidR="00055F61" w:rsidRPr="00AB6AD9" w14:paraId="769896B9"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4CC0611D" w14:textId="45BA1AEC" w:rsidR="00055F61" w:rsidRPr="00AB6AD9" w:rsidRDefault="00055F61" w:rsidP="00055F61">
            <w:pPr>
              <w:spacing w:line="288" w:lineRule="auto"/>
              <w:jc w:val="left"/>
              <w:rPr>
                <w:rFonts w:ascii="Calibri" w:hAnsi="Calibri" w:cs="Calibri"/>
                <w:sz w:val="22"/>
                <w:szCs w:val="22"/>
              </w:rPr>
            </w:pPr>
            <w:r w:rsidRPr="00AB6AD9">
              <w:rPr>
                <w:rFonts w:ascii="Calibri" w:hAnsi="Calibri" w:cs="Calibri"/>
                <w:sz w:val="22"/>
                <w:szCs w:val="22"/>
              </w:rPr>
              <w:t>Jméno (název</w:t>
            </w:r>
            <w:proofErr w:type="gramStart"/>
            <w:r w:rsidRPr="00AB6AD9">
              <w:rPr>
                <w:rFonts w:ascii="Calibri" w:hAnsi="Calibri" w:cs="Calibri"/>
                <w:sz w:val="22"/>
                <w:szCs w:val="22"/>
              </w:rPr>
              <w:t>),  sídlo</w:t>
            </w:r>
            <w:proofErr w:type="gramEnd"/>
            <w:r w:rsidRPr="00AB6AD9">
              <w:rPr>
                <w:rFonts w:ascii="Calibri" w:hAnsi="Calibri" w:cs="Calibri"/>
                <w:sz w:val="22"/>
                <w:szCs w:val="22"/>
              </w:rPr>
              <w:t xml:space="preserve"> (adresa)</w:t>
            </w:r>
            <w:r>
              <w:rPr>
                <w:rFonts w:ascii="Calibri" w:hAnsi="Calibri" w:cs="Calibri"/>
                <w:sz w:val="22"/>
                <w:szCs w:val="22"/>
              </w:rPr>
              <w:t xml:space="preserve"> zpracovatele dokumentace:</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B5A8661" w14:textId="77777777" w:rsidR="00055F61" w:rsidRPr="00AB6AD9" w:rsidRDefault="00055F61" w:rsidP="00055F61">
            <w:pPr>
              <w:spacing w:line="288" w:lineRule="auto"/>
              <w:rPr>
                <w:rFonts w:ascii="Calibri" w:eastAsia="Calibri" w:hAnsi="Calibri" w:cs="Calibri"/>
                <w:b/>
                <w:bCs/>
                <w:sz w:val="22"/>
                <w:szCs w:val="22"/>
              </w:rPr>
            </w:pPr>
            <w:r w:rsidRPr="00AB6AD9">
              <w:rPr>
                <w:rFonts w:ascii="Calibri" w:hAnsi="Calibri" w:cs="Calibri"/>
                <w:b/>
                <w:bCs/>
                <w:sz w:val="22"/>
                <w:szCs w:val="22"/>
              </w:rPr>
              <w:t>ATRIS s.r.o.</w:t>
            </w:r>
          </w:p>
          <w:p w14:paraId="2AE1FFD8" w14:textId="77777777" w:rsidR="00055F61" w:rsidRPr="00AB6AD9" w:rsidRDefault="00055F61" w:rsidP="00055F61">
            <w:pPr>
              <w:tabs>
                <w:tab w:val="left" w:pos="360"/>
                <w:tab w:val="left" w:pos="2977"/>
              </w:tabs>
              <w:spacing w:line="288" w:lineRule="auto"/>
              <w:rPr>
                <w:rFonts w:ascii="Calibri" w:eastAsia="Calibri" w:hAnsi="Calibri" w:cs="Calibri"/>
                <w:sz w:val="22"/>
                <w:szCs w:val="22"/>
              </w:rPr>
            </w:pPr>
            <w:r w:rsidRPr="00AB6AD9">
              <w:rPr>
                <w:rFonts w:ascii="Calibri" w:hAnsi="Calibri" w:cs="Calibri"/>
                <w:sz w:val="22"/>
                <w:szCs w:val="22"/>
              </w:rPr>
              <w:t>Občanská 1116/18, Slezská Ostrava, 710 00 Ostrava</w:t>
            </w:r>
          </w:p>
          <w:p w14:paraId="3B20DBAF" w14:textId="7D33CBFD" w:rsidR="00055F61" w:rsidRDefault="00055F61" w:rsidP="00055F61">
            <w:pPr>
              <w:pStyle w:val="Stednmka21"/>
              <w:tabs>
                <w:tab w:val="left" w:pos="2977"/>
              </w:tabs>
              <w:jc w:val="left"/>
              <w:rPr>
                <w:rFonts w:ascii="Calibri" w:hAnsi="Calibri" w:cs="Calibri"/>
                <w:b/>
                <w:bCs/>
                <w:sz w:val="22"/>
                <w:szCs w:val="22"/>
                <w:lang w:eastAsia="en-US"/>
              </w:rPr>
            </w:pPr>
          </w:p>
        </w:tc>
      </w:tr>
    </w:tbl>
    <w:p w14:paraId="56DB225A" w14:textId="77777777" w:rsidR="009C68A1" w:rsidRPr="00AB6AD9" w:rsidRDefault="009C68A1" w:rsidP="009C68A1">
      <w:pPr>
        <w:tabs>
          <w:tab w:val="left" w:pos="360"/>
          <w:tab w:val="left" w:pos="2977"/>
        </w:tabs>
        <w:spacing w:line="288" w:lineRule="auto"/>
        <w:rPr>
          <w:rFonts w:ascii="Calibri" w:eastAsia="Calibri" w:hAnsi="Calibri" w:cs="Calibri"/>
          <w:sz w:val="22"/>
          <w:szCs w:val="22"/>
        </w:rPr>
      </w:pPr>
    </w:p>
    <w:p w14:paraId="2FC1CD4F" w14:textId="4FC60027" w:rsidR="002056F4" w:rsidRPr="00C55F00" w:rsidRDefault="00156AA1" w:rsidP="009C68A1">
      <w:pPr>
        <w:numPr>
          <w:ilvl w:val="0"/>
          <w:numId w:val="4"/>
        </w:numPr>
        <w:spacing w:line="288" w:lineRule="auto"/>
        <w:rPr>
          <w:rFonts w:ascii="Calibri" w:hAnsi="Calibri" w:cs="Calibri"/>
          <w:b/>
          <w:bCs/>
          <w:sz w:val="22"/>
          <w:szCs w:val="22"/>
        </w:rPr>
      </w:pPr>
      <w:r>
        <w:rPr>
          <w:rFonts w:ascii="Calibri" w:hAnsi="Calibri" w:cs="Calibri"/>
          <w:b/>
          <w:bCs/>
          <w:sz w:val="22"/>
          <w:szCs w:val="22"/>
          <w:u w:val="single"/>
        </w:rPr>
        <w:t xml:space="preserve">Technický popis stavby </w:t>
      </w:r>
    </w:p>
    <w:p w14:paraId="38EE17C8" w14:textId="06EA7FB8" w:rsidR="00D05C62" w:rsidRDefault="001E6BE9" w:rsidP="00D05C62">
      <w:pPr>
        <w:ind w:left="709"/>
        <w:rPr>
          <w:rFonts w:ascii="Calibri" w:hAnsi="Calibri" w:cs="Calibri"/>
          <w:sz w:val="22"/>
          <w:szCs w:val="22"/>
        </w:rPr>
      </w:pPr>
      <w:r>
        <w:rPr>
          <w:rFonts w:ascii="Calibri" w:hAnsi="Calibri" w:cs="Calibri"/>
          <w:sz w:val="22"/>
          <w:szCs w:val="22"/>
        </w:rPr>
        <w:t>Jedná se opravu bytů po povodni.</w:t>
      </w:r>
    </w:p>
    <w:p w14:paraId="524C8770" w14:textId="23148462" w:rsidR="00286B6A" w:rsidRDefault="00286B6A" w:rsidP="00182DD2">
      <w:pPr>
        <w:rPr>
          <w:rFonts w:ascii="Calibri" w:hAnsi="Calibri" w:cs="Calibri"/>
          <w:b/>
          <w:sz w:val="22"/>
          <w:szCs w:val="22"/>
        </w:rPr>
      </w:pPr>
    </w:p>
    <w:p w14:paraId="2EB1A7F5" w14:textId="660A5004" w:rsidR="00182DD2" w:rsidRDefault="001E6BE9" w:rsidP="00D05C62">
      <w:pPr>
        <w:ind w:left="709"/>
        <w:rPr>
          <w:rFonts w:ascii="Calibri" w:hAnsi="Calibri" w:cs="Calibri"/>
          <w:bCs/>
          <w:sz w:val="22"/>
          <w:szCs w:val="22"/>
        </w:rPr>
      </w:pPr>
      <w:r>
        <w:rPr>
          <w:rFonts w:ascii="Calibri" w:hAnsi="Calibri" w:cs="Calibri"/>
          <w:bCs/>
          <w:sz w:val="22"/>
          <w:szCs w:val="22"/>
        </w:rPr>
        <w:t>Po provedení zajišťovacích prací (vysušení objektu, vybourání poškozených podlah, oškrábání maleb apod.) budou provedeny stavební práce v </w:t>
      </w:r>
      <w:proofErr w:type="gramStart"/>
      <w:r>
        <w:rPr>
          <w:rFonts w:ascii="Calibri" w:hAnsi="Calibri" w:cs="Calibri"/>
          <w:bCs/>
          <w:sz w:val="22"/>
          <w:szCs w:val="22"/>
        </w:rPr>
        <w:t>rozsahu :</w:t>
      </w:r>
      <w:proofErr w:type="gramEnd"/>
      <w:r>
        <w:rPr>
          <w:rFonts w:ascii="Calibri" w:hAnsi="Calibri" w:cs="Calibri"/>
          <w:bCs/>
          <w:sz w:val="22"/>
          <w:szCs w:val="22"/>
        </w:rPr>
        <w:t xml:space="preserve"> </w:t>
      </w:r>
    </w:p>
    <w:p w14:paraId="6A061D5E" w14:textId="1BB62FAA" w:rsidR="001E6BE9" w:rsidRDefault="001E6BE9" w:rsidP="00D05C62">
      <w:pPr>
        <w:ind w:left="709"/>
        <w:rPr>
          <w:rFonts w:ascii="Calibri" w:hAnsi="Calibri" w:cs="Calibri"/>
          <w:bCs/>
          <w:sz w:val="22"/>
          <w:szCs w:val="22"/>
        </w:rPr>
      </w:pPr>
    </w:p>
    <w:p w14:paraId="5982E9E2" w14:textId="677AA128" w:rsidR="001E6BE9" w:rsidRDefault="00FB642F" w:rsidP="001E6BE9">
      <w:pPr>
        <w:pStyle w:val="Odstavecseseznamem"/>
        <w:numPr>
          <w:ilvl w:val="0"/>
          <w:numId w:val="12"/>
        </w:numPr>
        <w:rPr>
          <w:rFonts w:ascii="Calibri" w:hAnsi="Calibri" w:cs="Calibri"/>
          <w:bCs/>
          <w:sz w:val="22"/>
          <w:szCs w:val="22"/>
        </w:rPr>
      </w:pPr>
      <w:r>
        <w:rPr>
          <w:rFonts w:ascii="Calibri" w:hAnsi="Calibri" w:cs="Calibri"/>
          <w:bCs/>
          <w:noProof/>
          <w:sz w:val="22"/>
          <w:szCs w:val="22"/>
        </w:rPr>
        <w:drawing>
          <wp:anchor distT="0" distB="0" distL="114300" distR="114300" simplePos="0" relativeHeight="251677696" behindDoc="0" locked="0" layoutInCell="1" allowOverlap="1" wp14:anchorId="691BEBE4" wp14:editId="42AE2F7A">
            <wp:simplePos x="0" y="0"/>
            <wp:positionH relativeFrom="column">
              <wp:posOffset>3136071</wp:posOffset>
            </wp:positionH>
            <wp:positionV relativeFrom="paragraph">
              <wp:posOffset>446211</wp:posOffset>
            </wp:positionV>
            <wp:extent cx="2059305" cy="2745105"/>
            <wp:effectExtent l="0" t="0" r="0" b="0"/>
            <wp:wrapTopAndBottom/>
            <wp:docPr id="1828618161" name="Obrázek 3" descr="Obsah obrázku nářadí, zeď, interié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618161" name="Obrázek 3" descr="Obsah obrázku nářadí, zeď, interiér&#10;&#10;Popis byl vytvořen automaticky"/>
                    <pic:cNvPicPr/>
                  </pic:nvPicPr>
                  <pic:blipFill>
                    <a:blip r:embed="rId8">
                      <a:extLst>
                        <a:ext uri="{28A0092B-C50C-407E-A947-70E740481C1C}">
                          <a14:useLocalDpi xmlns:a14="http://schemas.microsoft.com/office/drawing/2010/main" val="0"/>
                        </a:ext>
                      </a:extLst>
                    </a:blip>
                    <a:stretch>
                      <a:fillRect/>
                    </a:stretch>
                  </pic:blipFill>
                  <pic:spPr>
                    <a:xfrm>
                      <a:off x="0" y="0"/>
                      <a:ext cx="2059305" cy="2745105"/>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Cs/>
          <w:noProof/>
          <w:sz w:val="22"/>
          <w:szCs w:val="22"/>
        </w:rPr>
        <w:drawing>
          <wp:anchor distT="0" distB="0" distL="114300" distR="114300" simplePos="0" relativeHeight="251676672" behindDoc="0" locked="0" layoutInCell="1" allowOverlap="1" wp14:anchorId="106453AD" wp14:editId="36BEB1C8">
            <wp:simplePos x="0" y="0"/>
            <wp:positionH relativeFrom="column">
              <wp:posOffset>694690</wp:posOffset>
            </wp:positionH>
            <wp:positionV relativeFrom="paragraph">
              <wp:posOffset>425339</wp:posOffset>
            </wp:positionV>
            <wp:extent cx="2075180" cy="2767330"/>
            <wp:effectExtent l="0" t="0" r="0" b="1270"/>
            <wp:wrapTopAndBottom/>
            <wp:docPr id="627766041" name="Obrázek 2" descr="Obsah obrázku Elektrické vedení, zeď, území, interiér&#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766041" name="Obrázek 2" descr="Obsah obrázku Elektrické vedení, zeď, území, interiér&#10;&#10;Popis byl vytvořen automaticky"/>
                    <pic:cNvPicPr/>
                  </pic:nvPicPr>
                  <pic:blipFill>
                    <a:blip r:embed="rId9">
                      <a:extLst>
                        <a:ext uri="{28A0092B-C50C-407E-A947-70E740481C1C}">
                          <a14:useLocalDpi xmlns:a14="http://schemas.microsoft.com/office/drawing/2010/main" val="0"/>
                        </a:ext>
                      </a:extLst>
                    </a:blip>
                    <a:stretch>
                      <a:fillRect/>
                    </a:stretch>
                  </pic:blipFill>
                  <pic:spPr>
                    <a:xfrm>
                      <a:off x="0" y="0"/>
                      <a:ext cx="2075180" cy="2767330"/>
                    </a:xfrm>
                    <a:prstGeom prst="rect">
                      <a:avLst/>
                    </a:prstGeom>
                  </pic:spPr>
                </pic:pic>
              </a:graphicData>
            </a:graphic>
            <wp14:sizeRelH relativeFrom="page">
              <wp14:pctWidth>0</wp14:pctWidth>
            </wp14:sizeRelH>
            <wp14:sizeRelV relativeFrom="page">
              <wp14:pctHeight>0</wp14:pctHeight>
            </wp14:sizeRelV>
          </wp:anchor>
        </w:drawing>
      </w:r>
      <w:r w:rsidR="001E6BE9">
        <w:rPr>
          <w:rFonts w:ascii="Calibri" w:hAnsi="Calibri" w:cs="Calibri"/>
          <w:bCs/>
          <w:sz w:val="22"/>
          <w:szCs w:val="22"/>
        </w:rPr>
        <w:t>Oprava omítek z </w:t>
      </w:r>
      <w:proofErr w:type="gramStart"/>
      <w:r w:rsidR="001E6BE9">
        <w:rPr>
          <w:rFonts w:ascii="Calibri" w:hAnsi="Calibri" w:cs="Calibri"/>
          <w:bCs/>
          <w:sz w:val="22"/>
          <w:szCs w:val="22"/>
        </w:rPr>
        <w:t>30%</w:t>
      </w:r>
      <w:proofErr w:type="gramEnd"/>
      <w:r w:rsidR="001E6BE9">
        <w:rPr>
          <w:rFonts w:ascii="Calibri" w:hAnsi="Calibri" w:cs="Calibri"/>
          <w:bCs/>
          <w:sz w:val="22"/>
          <w:szCs w:val="22"/>
        </w:rPr>
        <w:t xml:space="preserve"> v pásu 1 m od podlahy – nesoudržné části budou oklepány, bude doplněna hrubá jádrová omítka vč. štukové vrstvy </w:t>
      </w:r>
    </w:p>
    <w:p w14:paraId="7359AF63" w14:textId="2DCA2BE7" w:rsidR="00CE1CDF" w:rsidRDefault="00CE1CDF" w:rsidP="009B50DA">
      <w:pPr>
        <w:ind w:left="1069"/>
        <w:rPr>
          <w:rFonts w:ascii="Calibri" w:hAnsi="Calibri" w:cs="Calibri"/>
          <w:bCs/>
          <w:sz w:val="22"/>
          <w:szCs w:val="22"/>
        </w:rPr>
      </w:pPr>
    </w:p>
    <w:p w14:paraId="1E59B18B" w14:textId="2A23953D" w:rsidR="00CE1CDF" w:rsidRPr="00CE1CDF" w:rsidRDefault="00CE1CDF" w:rsidP="00CE1CDF">
      <w:pPr>
        <w:ind w:left="1069"/>
        <w:rPr>
          <w:rFonts w:ascii="Calibri" w:hAnsi="Calibri" w:cs="Calibri"/>
          <w:bCs/>
          <w:sz w:val="22"/>
          <w:szCs w:val="22"/>
        </w:rPr>
      </w:pPr>
    </w:p>
    <w:p w14:paraId="702926C0" w14:textId="5BEB0381" w:rsidR="001E6BE9" w:rsidRDefault="001E6BE9" w:rsidP="001E6BE9">
      <w:pPr>
        <w:pStyle w:val="Odstavecseseznamem"/>
        <w:ind w:left="1069"/>
        <w:rPr>
          <w:rFonts w:ascii="Calibri" w:hAnsi="Calibri" w:cs="Calibri"/>
          <w:bCs/>
          <w:sz w:val="22"/>
          <w:szCs w:val="22"/>
        </w:rPr>
      </w:pPr>
    </w:p>
    <w:p w14:paraId="60B3D2AB" w14:textId="5EEFA021" w:rsidR="001E6BE9" w:rsidRDefault="001E6BE9" w:rsidP="001E6BE9">
      <w:pPr>
        <w:pStyle w:val="Odstavecseseznamem"/>
        <w:numPr>
          <w:ilvl w:val="0"/>
          <w:numId w:val="12"/>
        </w:numPr>
        <w:rPr>
          <w:rFonts w:ascii="Calibri" w:hAnsi="Calibri" w:cs="Calibri"/>
          <w:bCs/>
          <w:sz w:val="22"/>
          <w:szCs w:val="22"/>
        </w:rPr>
      </w:pPr>
      <w:r>
        <w:rPr>
          <w:rFonts w:ascii="Calibri" w:hAnsi="Calibri" w:cs="Calibri"/>
          <w:bCs/>
          <w:sz w:val="22"/>
          <w:szCs w:val="22"/>
        </w:rPr>
        <w:t xml:space="preserve">Na SDK příčkách bude doplněno SDK opláštění stěn cca 600 mm od podlahy, vč. 2x tmelení a broušení </w:t>
      </w:r>
    </w:p>
    <w:p w14:paraId="3F9489CE" w14:textId="1AEFB5E9" w:rsidR="001E6BE9" w:rsidRPr="00AA14F8" w:rsidRDefault="001E6BE9" w:rsidP="00AA14F8">
      <w:pPr>
        <w:rPr>
          <w:rFonts w:ascii="Calibri" w:hAnsi="Calibri" w:cs="Calibri"/>
          <w:bCs/>
          <w:sz w:val="22"/>
          <w:szCs w:val="22"/>
        </w:rPr>
      </w:pPr>
    </w:p>
    <w:p w14:paraId="013DEC07" w14:textId="585CBC29" w:rsidR="001E6BE9" w:rsidRDefault="001E6BE9" w:rsidP="001E6BE9">
      <w:pPr>
        <w:pStyle w:val="Odstavecseseznamem"/>
        <w:numPr>
          <w:ilvl w:val="0"/>
          <w:numId w:val="12"/>
        </w:numPr>
        <w:rPr>
          <w:rFonts w:ascii="Calibri" w:hAnsi="Calibri" w:cs="Calibri"/>
          <w:bCs/>
          <w:sz w:val="22"/>
          <w:szCs w:val="22"/>
        </w:rPr>
      </w:pPr>
      <w:r>
        <w:rPr>
          <w:rFonts w:ascii="Calibri" w:hAnsi="Calibri" w:cs="Calibri"/>
          <w:bCs/>
          <w:sz w:val="22"/>
          <w:szCs w:val="22"/>
        </w:rPr>
        <w:t xml:space="preserve">Vstupní dveře do bytu budou demontovány vč. odstranění stávající ocelové zárubně. Budou osazeny nové vstupní interiérové protipožární dveře s požární odolností EI 30, zvukový útlum min. 32 dB, vč. </w:t>
      </w:r>
      <w:r>
        <w:rPr>
          <w:rFonts w:ascii="Calibri" w:hAnsi="Calibri" w:cs="Calibri"/>
          <w:bCs/>
          <w:sz w:val="22"/>
          <w:szCs w:val="22"/>
        </w:rPr>
        <w:lastRenderedPageBreak/>
        <w:t xml:space="preserve">nové ocelové zárubně a jejího nátěru, kování bezpečnostní třída 5, dekor dveří a barva zárubní dle stávajících dveří </w:t>
      </w:r>
    </w:p>
    <w:p w14:paraId="6268A544" w14:textId="5896068D" w:rsidR="001E6BE9" w:rsidRDefault="001E6BE9" w:rsidP="001E6BE9">
      <w:pPr>
        <w:pStyle w:val="Odstavecseseznamem"/>
        <w:ind w:left="1069"/>
        <w:rPr>
          <w:rFonts w:ascii="Calibri" w:hAnsi="Calibri" w:cs="Calibri"/>
          <w:bCs/>
          <w:sz w:val="22"/>
          <w:szCs w:val="22"/>
        </w:rPr>
      </w:pPr>
      <w:r>
        <w:rPr>
          <w:rFonts w:ascii="Calibri" w:hAnsi="Calibri" w:cs="Calibri"/>
          <w:bCs/>
          <w:sz w:val="22"/>
          <w:szCs w:val="22"/>
        </w:rPr>
        <w:t xml:space="preserve">Před zadáním do výroby musí být barva zárubně a dekor dveří odsouhlasen objednatelem </w:t>
      </w:r>
    </w:p>
    <w:p w14:paraId="594405D9" w14:textId="0C3850A6" w:rsidR="00CE1CDF" w:rsidRDefault="00CE1CDF" w:rsidP="00CE1CDF">
      <w:pPr>
        <w:rPr>
          <w:rFonts w:ascii="Calibri" w:hAnsi="Calibri" w:cs="Calibri"/>
          <w:bCs/>
          <w:sz w:val="22"/>
          <w:szCs w:val="22"/>
        </w:rPr>
      </w:pPr>
    </w:p>
    <w:p w14:paraId="74C501E5" w14:textId="2EC1A7A2" w:rsidR="00CE1CDF" w:rsidRDefault="00CE1CDF" w:rsidP="00CE1CDF">
      <w:pPr>
        <w:pStyle w:val="Odstavecseseznamem"/>
        <w:numPr>
          <w:ilvl w:val="0"/>
          <w:numId w:val="12"/>
        </w:numPr>
        <w:rPr>
          <w:rFonts w:ascii="Calibri" w:hAnsi="Calibri" w:cs="Calibri"/>
          <w:bCs/>
          <w:sz w:val="22"/>
          <w:szCs w:val="22"/>
        </w:rPr>
      </w:pPr>
      <w:r>
        <w:rPr>
          <w:rFonts w:ascii="Calibri" w:hAnsi="Calibri" w:cs="Calibri"/>
          <w:bCs/>
          <w:sz w:val="22"/>
          <w:szCs w:val="22"/>
        </w:rPr>
        <w:t xml:space="preserve">V chodbě bude doplněn keramický sokl, formát a odstín bude vybrán dle stávající dlažby </w:t>
      </w:r>
    </w:p>
    <w:p w14:paraId="2BC31A78" w14:textId="0AD61038" w:rsidR="001E6BE9" w:rsidRDefault="001E6BE9" w:rsidP="00E32F89">
      <w:pPr>
        <w:pStyle w:val="Odstavecseseznamem"/>
        <w:ind w:left="1069"/>
        <w:rPr>
          <w:rFonts w:ascii="Calibri" w:hAnsi="Calibri" w:cs="Calibri"/>
          <w:bCs/>
          <w:sz w:val="22"/>
          <w:szCs w:val="22"/>
        </w:rPr>
      </w:pPr>
    </w:p>
    <w:p w14:paraId="3E7B131D" w14:textId="6924A006" w:rsidR="00F04BC3" w:rsidRDefault="00300496" w:rsidP="001E6BE9">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w:t>
      </w:r>
      <w:r w:rsidR="00F04BC3">
        <w:rPr>
          <w:rFonts w:ascii="Calibri" w:hAnsi="Calibri" w:cs="Calibri"/>
          <w:bCs/>
          <w:sz w:val="22"/>
          <w:szCs w:val="22"/>
        </w:rPr>
        <w:t>nová skladba podlahy – před pokládkou nové skladby bude provedeno vyčištění a kontrola podkladu. Přechod mezi stěnou a podlahou bude do výšky úrovně podlahy opatřen reaktivně tuhnoucí vysoce flexibilní těsnící stěrkou.</w:t>
      </w:r>
    </w:p>
    <w:p w14:paraId="7EBDEEBA" w14:textId="18F50247" w:rsidR="00967377" w:rsidRDefault="00967377" w:rsidP="00F04BC3">
      <w:pPr>
        <w:pStyle w:val="Odstavecseseznamem"/>
        <w:ind w:left="1069"/>
        <w:rPr>
          <w:rFonts w:ascii="Calibri" w:hAnsi="Calibri" w:cs="Calibri"/>
          <w:bCs/>
          <w:sz w:val="22"/>
          <w:szCs w:val="22"/>
        </w:rPr>
      </w:pPr>
    </w:p>
    <w:p w14:paraId="0BBC8F72" w14:textId="607004DF"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Nová skladba podlahy </w:t>
      </w:r>
    </w:p>
    <w:p w14:paraId="5BD7B79E" w14:textId="2987EF07" w:rsidR="002F7176" w:rsidRDefault="002F7176" w:rsidP="002F7176">
      <w:pPr>
        <w:pStyle w:val="Odstavecseseznamem"/>
        <w:ind w:left="1069"/>
        <w:rPr>
          <w:rFonts w:ascii="Calibri" w:hAnsi="Calibri" w:cs="Calibri"/>
          <w:bCs/>
          <w:sz w:val="22"/>
          <w:szCs w:val="22"/>
        </w:rPr>
      </w:pPr>
    </w:p>
    <w:p w14:paraId="7DAC12DE"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Vinylové SPC dílce systém CLICK odstín dub, přesný odstín vyvzorkován před realizací zhotovitelem a odsouhlasen objednatelem </w:t>
      </w:r>
    </w:p>
    <w:p w14:paraId="4D5CD31F"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Podložka pro vinylové dílce vhodná pro podlahové vytápění</w:t>
      </w:r>
    </w:p>
    <w:p w14:paraId="7D1C2B7E"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Samonivelační  stěrka </w:t>
      </w:r>
      <w:proofErr w:type="spellStart"/>
      <w:r>
        <w:rPr>
          <w:rFonts w:ascii="Calibri" w:hAnsi="Calibri" w:cs="Calibri"/>
          <w:bCs/>
          <w:sz w:val="22"/>
          <w:szCs w:val="22"/>
        </w:rPr>
        <w:t>tl</w:t>
      </w:r>
      <w:proofErr w:type="spellEnd"/>
      <w:r>
        <w:rPr>
          <w:rFonts w:ascii="Calibri" w:hAnsi="Calibri" w:cs="Calibri"/>
          <w:bCs/>
          <w:sz w:val="22"/>
          <w:szCs w:val="22"/>
        </w:rPr>
        <w:t xml:space="preserve">. do 5 mm </w:t>
      </w:r>
    </w:p>
    <w:p w14:paraId="3CBD7BCE"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Cementový potěr  </w:t>
      </w:r>
      <w:proofErr w:type="spellStart"/>
      <w:r>
        <w:rPr>
          <w:rFonts w:ascii="Calibri" w:hAnsi="Calibri" w:cs="Calibri"/>
          <w:bCs/>
          <w:sz w:val="22"/>
          <w:szCs w:val="22"/>
        </w:rPr>
        <w:t>tl</w:t>
      </w:r>
      <w:proofErr w:type="spellEnd"/>
      <w:r>
        <w:rPr>
          <w:rFonts w:ascii="Calibri" w:hAnsi="Calibri" w:cs="Calibri"/>
          <w:bCs/>
          <w:sz w:val="22"/>
          <w:szCs w:val="22"/>
        </w:rPr>
        <w:t xml:space="preserve">. 80 mm (min. 45 mm nad podlahové vytápění) vyztužený vláknem 30 </w:t>
      </w:r>
      <w:proofErr w:type="spellStart"/>
      <w:r>
        <w:rPr>
          <w:rFonts w:ascii="Calibri" w:hAnsi="Calibri" w:cs="Calibri"/>
          <w:bCs/>
          <w:sz w:val="22"/>
          <w:szCs w:val="22"/>
        </w:rPr>
        <w:t>MPa</w:t>
      </w:r>
      <w:proofErr w:type="spellEnd"/>
      <w:r>
        <w:rPr>
          <w:rFonts w:ascii="Calibri" w:hAnsi="Calibri" w:cs="Calibri"/>
          <w:bCs/>
          <w:sz w:val="22"/>
          <w:szCs w:val="22"/>
        </w:rPr>
        <w:t xml:space="preserve"> </w:t>
      </w:r>
    </w:p>
    <w:p w14:paraId="4C43716A"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Systémová deska podlahového vytápění EPS T040 s fólií pro uchycení potrubí </w:t>
      </w:r>
      <w:proofErr w:type="spellStart"/>
      <w:r>
        <w:rPr>
          <w:rFonts w:ascii="Calibri" w:hAnsi="Calibri" w:cs="Calibri"/>
          <w:bCs/>
          <w:sz w:val="22"/>
          <w:szCs w:val="22"/>
        </w:rPr>
        <w:t>tl</w:t>
      </w:r>
      <w:proofErr w:type="spellEnd"/>
      <w:r>
        <w:rPr>
          <w:rFonts w:ascii="Calibri" w:hAnsi="Calibri" w:cs="Calibri"/>
          <w:bCs/>
          <w:sz w:val="22"/>
          <w:szCs w:val="22"/>
        </w:rPr>
        <w:t>. 30 mm</w:t>
      </w:r>
    </w:p>
    <w:p w14:paraId="5262D8B5"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Tepelná izolace XPS 150 S </w:t>
      </w:r>
      <w:proofErr w:type="spellStart"/>
      <w:r>
        <w:rPr>
          <w:rFonts w:ascii="Calibri" w:hAnsi="Calibri" w:cs="Calibri"/>
          <w:bCs/>
          <w:sz w:val="22"/>
          <w:szCs w:val="22"/>
        </w:rPr>
        <w:t>tl</w:t>
      </w:r>
      <w:proofErr w:type="spellEnd"/>
      <w:r>
        <w:rPr>
          <w:rFonts w:ascii="Calibri" w:hAnsi="Calibri" w:cs="Calibri"/>
          <w:bCs/>
          <w:sz w:val="22"/>
          <w:szCs w:val="22"/>
        </w:rPr>
        <w:t xml:space="preserve">. 80 mm </w:t>
      </w:r>
    </w:p>
    <w:p w14:paraId="3520727E"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Vyspravený vyčištěný podklad stávající hydroizolace </w:t>
      </w:r>
    </w:p>
    <w:p w14:paraId="38D52457" w14:textId="77777777" w:rsidR="002F7176" w:rsidRPr="00083265" w:rsidRDefault="002F7176" w:rsidP="002F7176">
      <w:pPr>
        <w:rPr>
          <w:rFonts w:ascii="Calibri" w:hAnsi="Calibri" w:cs="Calibri"/>
          <w:bCs/>
          <w:sz w:val="22"/>
          <w:szCs w:val="22"/>
        </w:rPr>
      </w:pPr>
    </w:p>
    <w:p w14:paraId="63DFEBE7"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(předpokládaná celková </w:t>
      </w:r>
      <w:proofErr w:type="spellStart"/>
      <w:r>
        <w:rPr>
          <w:rFonts w:ascii="Calibri" w:hAnsi="Calibri" w:cs="Calibri"/>
          <w:bCs/>
          <w:sz w:val="22"/>
          <w:szCs w:val="22"/>
        </w:rPr>
        <w:t>tl</w:t>
      </w:r>
      <w:proofErr w:type="spellEnd"/>
      <w:r>
        <w:rPr>
          <w:rFonts w:ascii="Calibri" w:hAnsi="Calibri" w:cs="Calibri"/>
          <w:bCs/>
          <w:sz w:val="22"/>
          <w:szCs w:val="22"/>
        </w:rPr>
        <w:t>. podlahy je 200 mm, v případě nerovností je možné upravit výšku potěru +-10 mm při zachování min. krytí podlahového vytápění)</w:t>
      </w:r>
    </w:p>
    <w:p w14:paraId="40DD533E" w14:textId="77777777" w:rsidR="00FB642F" w:rsidRDefault="00FB642F" w:rsidP="00FB642F">
      <w:pPr>
        <w:rPr>
          <w:rFonts w:ascii="Calibri" w:hAnsi="Calibri" w:cs="Calibri"/>
          <w:bCs/>
          <w:sz w:val="22"/>
          <w:szCs w:val="22"/>
        </w:rPr>
      </w:pPr>
    </w:p>
    <w:p w14:paraId="05CF406D" w14:textId="46F32EA8" w:rsidR="00FB642F" w:rsidRPr="00D910AC" w:rsidRDefault="00FB642F" w:rsidP="00FB642F">
      <w:pPr>
        <w:pStyle w:val="Odstavecseseznamem"/>
        <w:numPr>
          <w:ilvl w:val="0"/>
          <w:numId w:val="12"/>
        </w:numPr>
        <w:rPr>
          <w:rFonts w:ascii="Calibri" w:hAnsi="Calibri" w:cs="Calibri"/>
          <w:bCs/>
          <w:sz w:val="22"/>
          <w:szCs w:val="22"/>
        </w:rPr>
      </w:pPr>
      <w:r>
        <w:rPr>
          <w:rFonts w:ascii="Calibri" w:hAnsi="Calibri" w:cs="Calibri"/>
          <w:bCs/>
          <w:sz w:val="22"/>
          <w:szCs w:val="22"/>
        </w:rPr>
        <w:t>Bude provedena oprava stávající podlahy v pokoj</w:t>
      </w:r>
      <w:r>
        <w:rPr>
          <w:rFonts w:ascii="Calibri" w:hAnsi="Calibri" w:cs="Calibri"/>
          <w:bCs/>
          <w:sz w:val="22"/>
          <w:szCs w:val="22"/>
        </w:rPr>
        <w:t>i</w:t>
      </w:r>
      <w:r>
        <w:rPr>
          <w:rFonts w:ascii="Calibri" w:hAnsi="Calibri" w:cs="Calibri"/>
          <w:bCs/>
          <w:sz w:val="22"/>
          <w:szCs w:val="22"/>
        </w:rPr>
        <w:t xml:space="preserve"> – podlaha bude vyčištěna, </w:t>
      </w:r>
      <w:proofErr w:type="gramStart"/>
      <w:r>
        <w:rPr>
          <w:rFonts w:ascii="Calibri" w:hAnsi="Calibri" w:cs="Calibri"/>
          <w:bCs/>
          <w:sz w:val="22"/>
          <w:szCs w:val="22"/>
        </w:rPr>
        <w:t>vybroušena ,</w:t>
      </w:r>
      <w:proofErr w:type="gramEnd"/>
      <w:r>
        <w:rPr>
          <w:rFonts w:ascii="Calibri" w:hAnsi="Calibri" w:cs="Calibri"/>
          <w:bCs/>
          <w:sz w:val="22"/>
          <w:szCs w:val="22"/>
        </w:rPr>
        <w:t xml:space="preserve"> bude provedena nivelační stěrka v </w:t>
      </w:r>
      <w:proofErr w:type="spellStart"/>
      <w:r>
        <w:rPr>
          <w:rFonts w:ascii="Calibri" w:hAnsi="Calibri" w:cs="Calibri"/>
          <w:bCs/>
          <w:sz w:val="22"/>
          <w:szCs w:val="22"/>
        </w:rPr>
        <w:t>tl</w:t>
      </w:r>
      <w:proofErr w:type="spellEnd"/>
      <w:r>
        <w:rPr>
          <w:rFonts w:ascii="Calibri" w:hAnsi="Calibri" w:cs="Calibri"/>
          <w:bCs/>
          <w:sz w:val="22"/>
          <w:szCs w:val="22"/>
        </w:rPr>
        <w:t xml:space="preserve">. do 5 mm a bude provedena nová plovoucí podlaha  - vinylové SPC dílce systém CLICK odstín dub. Přesný odstín vyvzorkován před realizací zhotovitelem a odsouhlasen objednatelem </w:t>
      </w:r>
    </w:p>
    <w:p w14:paraId="2CC94809" w14:textId="77777777" w:rsidR="00FB642F" w:rsidRPr="00FB642F" w:rsidRDefault="00FB642F" w:rsidP="00FB642F">
      <w:pPr>
        <w:ind w:left="709"/>
        <w:rPr>
          <w:rFonts w:ascii="Calibri" w:hAnsi="Calibri" w:cs="Calibri"/>
          <w:bCs/>
          <w:sz w:val="22"/>
          <w:szCs w:val="22"/>
        </w:rPr>
      </w:pPr>
    </w:p>
    <w:p w14:paraId="04CFB36B" w14:textId="513938DC" w:rsidR="00967377" w:rsidRPr="00E32F89" w:rsidRDefault="00967377" w:rsidP="00E32F89">
      <w:pPr>
        <w:rPr>
          <w:rFonts w:ascii="Calibri" w:hAnsi="Calibri" w:cs="Calibri"/>
          <w:bCs/>
          <w:sz w:val="22"/>
          <w:szCs w:val="22"/>
        </w:rPr>
      </w:pPr>
    </w:p>
    <w:p w14:paraId="5165563C" w14:textId="3151F10C" w:rsidR="00AF241E" w:rsidRDefault="00990319" w:rsidP="00990319">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oprava podlahového vytápění </w:t>
      </w:r>
    </w:p>
    <w:p w14:paraId="0CA1A6F7" w14:textId="6C38248E" w:rsidR="00990319" w:rsidRDefault="00990319" w:rsidP="00990319">
      <w:pPr>
        <w:pStyle w:val="Odstavecseseznamem"/>
        <w:ind w:left="1069"/>
        <w:rPr>
          <w:rFonts w:ascii="Calibri" w:hAnsi="Calibri" w:cs="Calibri"/>
          <w:b/>
          <w:bCs/>
          <w:sz w:val="22"/>
          <w:szCs w:val="22"/>
          <w:u w:val="single"/>
        </w:rPr>
      </w:pPr>
    </w:p>
    <w:p w14:paraId="77ACDDFB" w14:textId="606A1B08" w:rsidR="00990319" w:rsidRPr="00990319" w:rsidRDefault="00990319" w:rsidP="00990319">
      <w:pPr>
        <w:pStyle w:val="Odstavecseseznamem"/>
        <w:ind w:left="1069"/>
        <w:rPr>
          <w:rFonts w:ascii="Calibri" w:hAnsi="Calibri" w:cs="Calibri"/>
          <w:b/>
          <w:bCs/>
          <w:sz w:val="22"/>
          <w:szCs w:val="22"/>
          <w:u w:val="single"/>
        </w:rPr>
      </w:pPr>
      <w:r w:rsidRPr="00990319">
        <w:rPr>
          <w:rFonts w:ascii="Calibri" w:hAnsi="Calibri" w:cs="Calibri"/>
          <w:b/>
          <w:bCs/>
          <w:sz w:val="22"/>
          <w:szCs w:val="22"/>
          <w:u w:val="single"/>
        </w:rPr>
        <w:t>Popis stávajícího stavu:</w:t>
      </w:r>
      <w:r w:rsidRPr="00990319">
        <w:rPr>
          <w:rFonts w:ascii="Calibri" w:hAnsi="Calibri" w:cs="Calibri"/>
          <w:b/>
          <w:bCs/>
          <w:sz w:val="22"/>
          <w:szCs w:val="22"/>
        </w:rPr>
        <w:tab/>
      </w:r>
      <w:r w:rsidRPr="00990319">
        <w:rPr>
          <w:rFonts w:ascii="Calibri" w:hAnsi="Calibri" w:cs="Calibri"/>
          <w:b/>
          <w:bCs/>
          <w:sz w:val="22"/>
          <w:szCs w:val="22"/>
        </w:rPr>
        <w:tab/>
      </w:r>
    </w:p>
    <w:p w14:paraId="3DCCD78D"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 jednotlivých bytech jsou osazeny bytové předávací stanice, ve kterých se pomocí deskového výměníku připravuje teplá voda a zároveň se reguluje teplota otopné vody pro vytápění v závislosti na venkovní teplotě a dle potřeb každého bytu. Vytápění bytového domu je řešeno pomocí teplovodního podlahového vytápění. Teplota otopné vody je navržena 45°C / 35°C.</w:t>
      </w:r>
    </w:p>
    <w:p w14:paraId="76760F51"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zádveří každého bytu je umístěn rozdělovač a sběrač podlahového vytápění. Od něho vedou v podlaze rozvody do jednotlivých místností. </w:t>
      </w:r>
    </w:p>
    <w:p w14:paraId="2A368120" w14:textId="42C66DAF"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koupelnách jsou jako doplňková otopná plocha osazena teplovodní trubková otopná tělesa napojená na rozdělovač a sběrač podlahového vytápění. </w:t>
      </w:r>
    </w:p>
    <w:p w14:paraId="08047548" w14:textId="77777777" w:rsid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 </w:t>
      </w:r>
    </w:p>
    <w:p w14:paraId="776198BC" w14:textId="77777777" w:rsidR="00990319" w:rsidRPr="00DA2BC8" w:rsidRDefault="00990319" w:rsidP="00DA2BC8">
      <w:pPr>
        <w:rPr>
          <w:rFonts w:ascii="Calibri" w:hAnsi="Calibri" w:cs="Calibri"/>
          <w:sz w:val="22"/>
          <w:szCs w:val="22"/>
        </w:rPr>
      </w:pPr>
    </w:p>
    <w:p w14:paraId="2E13F7AA" w14:textId="77777777" w:rsidR="00990319" w:rsidRPr="00990319" w:rsidRDefault="00990319" w:rsidP="00990319">
      <w:pPr>
        <w:pStyle w:val="Odstavecseseznamem"/>
        <w:ind w:left="1069"/>
        <w:rPr>
          <w:rFonts w:ascii="Calibri" w:hAnsi="Calibri" w:cs="Calibri"/>
          <w:b/>
          <w:bCs/>
          <w:sz w:val="22"/>
          <w:szCs w:val="22"/>
          <w:u w:val="single"/>
        </w:rPr>
      </w:pPr>
      <w:r w:rsidRPr="00990319">
        <w:rPr>
          <w:rFonts w:ascii="Calibri" w:hAnsi="Calibri" w:cs="Calibri"/>
          <w:b/>
          <w:bCs/>
          <w:sz w:val="22"/>
          <w:szCs w:val="22"/>
          <w:u w:val="single"/>
        </w:rPr>
        <w:t>Popis navrhovaného řešení:</w:t>
      </w:r>
    </w:p>
    <w:p w14:paraId="4F110A8D"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 důsledku povodně došlo k poškození podlahového vytápění v některých místnostech. V těchto  místnostech bude odstraněna betonová vrstva s trubkami podlahového vytápění a systémovou deskou.</w:t>
      </w:r>
    </w:p>
    <w:p w14:paraId="5BCE9C3C" w14:textId="77777777" w:rsidR="00990319" w:rsidRPr="00990319" w:rsidRDefault="00990319" w:rsidP="00990319">
      <w:pPr>
        <w:pStyle w:val="Odstavecseseznamem"/>
        <w:ind w:left="1069"/>
        <w:rPr>
          <w:rFonts w:ascii="Calibri" w:hAnsi="Calibri" w:cs="Calibri"/>
          <w:sz w:val="22"/>
          <w:szCs w:val="22"/>
        </w:rPr>
      </w:pPr>
    </w:p>
    <w:p w14:paraId="204CA1E9"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Po vysušení objektu bude ve vybraných místnostech osazeno nové podlahové vytápění. Dle původní projektové dokumentace mělo být pro podlahové vytápění použito plastových trubek PE-X 16x2, dle sdělení realizační firmy bylo použito potrubí PE-</w:t>
      </w:r>
      <w:proofErr w:type="spellStart"/>
      <w:r w:rsidRPr="00990319">
        <w:rPr>
          <w:rFonts w:ascii="Calibri" w:hAnsi="Calibri" w:cs="Calibri"/>
          <w:sz w:val="22"/>
          <w:szCs w:val="22"/>
        </w:rPr>
        <w:t>Xa</w:t>
      </w:r>
      <w:proofErr w:type="spellEnd"/>
      <w:r w:rsidRPr="00990319">
        <w:rPr>
          <w:rFonts w:ascii="Calibri" w:hAnsi="Calibri" w:cs="Calibri"/>
          <w:sz w:val="22"/>
          <w:szCs w:val="22"/>
        </w:rPr>
        <w:t xml:space="preserve"> 17x2.</w:t>
      </w:r>
    </w:p>
    <w:p w14:paraId="36EC21A4"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lastRenderedPageBreak/>
        <w:t xml:space="preserve">Podél stěn </w:t>
      </w:r>
      <w:r w:rsidRPr="00990319">
        <w:rPr>
          <w:rFonts w:ascii="Calibri" w:hAnsi="Calibri" w:cs="Calibri"/>
          <w:sz w:val="22"/>
          <w:szCs w:val="22"/>
          <w:shd w:val="clear" w:color="auto" w:fill="FFFFFF"/>
        </w:rPr>
        <w:t xml:space="preserve">bude </w:t>
      </w:r>
      <w:r w:rsidRPr="00990319">
        <w:rPr>
          <w:rFonts w:ascii="Calibri" w:hAnsi="Calibri" w:cs="Calibri"/>
          <w:sz w:val="22"/>
          <w:szCs w:val="22"/>
        </w:rPr>
        <w:t>umístěn obvodový dilatační pás z pěnového polyetylénu. Pás dosahuje od nosného podkladu až k povrchu dokončené podlahy, budoucí úroveň povrchu má přesahovat minimálně o 5 mm a umožňuje teplotní roztahování a smršťování konstrukce s trubkovými hady podle změn teploty otopné vody. V místě dilatace topné plochy bude umístěn středový dilatační profil.</w:t>
      </w:r>
    </w:p>
    <w:p w14:paraId="1BD35AAF"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Na vyčištěnou podlahu budou osazeny systémové desky podlahového vytápění, které jsou tvořeny izolační deskou z polystyrenu </w:t>
      </w:r>
      <w:proofErr w:type="spellStart"/>
      <w:r w:rsidRPr="00990319">
        <w:rPr>
          <w:rFonts w:ascii="Calibri" w:hAnsi="Calibri" w:cs="Calibri"/>
          <w:sz w:val="22"/>
          <w:szCs w:val="22"/>
        </w:rPr>
        <w:t>tl</w:t>
      </w:r>
      <w:proofErr w:type="spellEnd"/>
      <w:r w:rsidRPr="00990319">
        <w:rPr>
          <w:rFonts w:ascii="Calibri" w:hAnsi="Calibri" w:cs="Calibri"/>
          <w:sz w:val="22"/>
          <w:szCs w:val="22"/>
        </w:rPr>
        <w:t>. 30 mm, na povrchu je deska opatřena folií s montážními výstupky s celkovou výškou 52 mm, která působí jako parozábrana a zároveň umožní dodržet stanovené rozteče trubek.  Trubky je možno pokládat buď do spirály nebo do meandru – dle původní projektové dokumentace. Rozteče a délky budou dodrženy dle původní PD.</w:t>
      </w:r>
    </w:p>
    <w:p w14:paraId="164AB7B4" w14:textId="516AB3C1"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Dilatační spárou mezi jednotlivými poli smí procházet pouze přívodní a zpětné potrubí ke smyčce, topná trubka procházející dilatační spárou musí být opatřena plastovou chráničkou s přesahem cca 20 cm na každou stranu. </w:t>
      </w:r>
    </w:p>
    <w:p w14:paraId="4B763CD9"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místě dveří, kde jsou původní trubky podlahového vytápění přerušeny, bude umístěn spoj potrubí. Dle původní projektové dokumentace je nutno si označit okruhy, které potrubí vedlo do příslušné místnosti. </w:t>
      </w:r>
    </w:p>
    <w:p w14:paraId="12091D1D" w14:textId="057EE382" w:rsidR="00990319" w:rsidRPr="00990319" w:rsidRDefault="00990319" w:rsidP="00990319">
      <w:pPr>
        <w:pStyle w:val="Normlnweb"/>
        <w:spacing w:before="0" w:beforeAutospacing="0" w:after="160" w:afterAutospacing="0"/>
        <w:ind w:left="1069"/>
        <w:jc w:val="both"/>
        <w:rPr>
          <w:rFonts w:ascii="Calibri" w:hAnsi="Calibri" w:cs="Calibri"/>
          <w:sz w:val="22"/>
          <w:szCs w:val="22"/>
        </w:rPr>
      </w:pPr>
      <w:r w:rsidRPr="00990319">
        <w:rPr>
          <w:rFonts w:ascii="Calibri" w:hAnsi="Calibri" w:cs="Calibri"/>
          <w:sz w:val="22"/>
          <w:szCs w:val="22"/>
        </w:rPr>
        <w:t xml:space="preserve">Po dokončení instalace trubek a jejich napojení správný vývod  z rozdělovače je systém nutno propláchnout a následně napustit vodou požadované kvality. Všechny smyčky otopné soustavy je nutno důkladně odvzdušnit. Poté bude provedena tlaková zkouška těsnosti potrubí, která trvá 24 hodin. Před zalitím betonovou zálivkou, potrubí zůstává naplněno a pod tlakem. Nastavení průtoků jednotlivými okruhy bude provedeno na rozdělovači a sběrači podlahového vytápění. </w:t>
      </w:r>
    </w:p>
    <w:p w14:paraId="02AE9191"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Betonová podlaha se zhotovuje ze speciálního betonu s přísadou plastifikátoru. Betonová směs nesmí být tekutá, pouze zavlhlá. Při přípravě betonové směsi nutno postupovat dle DIN. Plastifikátor dle doporučení dodavatele. Před položením nášlapné vrstvy je zásadně nutno potěr zahřát.</w:t>
      </w:r>
    </w:p>
    <w:p w14:paraId="7E132BB5" w14:textId="6FEAB762"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Uvedení do provozu - k prvnímu ohřevu cementového potěru by mělo dojít nejdříve min. 21 dní po jeho dokončení. První zahřátí probíhá zpočátku při teplotě náběžné vody cca 25 °C, další zvýšení teploty přívodu se provádí každý den vždy o cca 5 °C. Zvyšování teploty může být i rychlejší, ale max. hodnoty teploty přívodu podle výpočtu se může dosáhnout nejdříve po 3 dnech od začátku zahřívání potěru. Maximální teplotu přívodu podle výpočtu je třeba udržovat min. 4 dny bez nočního útlumu a v tomto období je třeba zajistit v místnostech bezprůvanovou výměnu vzduchu.</w:t>
      </w:r>
    </w:p>
    <w:p w14:paraId="4B3BF078" w14:textId="77777777" w:rsidR="00990319" w:rsidRPr="00990319" w:rsidRDefault="00990319" w:rsidP="00990319">
      <w:pPr>
        <w:tabs>
          <w:tab w:val="left" w:pos="0"/>
        </w:tabs>
        <w:rPr>
          <w:rFonts w:ascii="Calibri" w:hAnsi="Calibri" w:cs="Calibri"/>
          <w:b/>
          <w:snapToGrid w:val="0"/>
          <w:sz w:val="22"/>
          <w:szCs w:val="22"/>
        </w:rPr>
      </w:pPr>
    </w:p>
    <w:p w14:paraId="55851385"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Veškeré navržené zařízení bude instalováno v souladu s montážními předpisy výrobců.</w:t>
      </w:r>
    </w:p>
    <w:p w14:paraId="166666F8" w14:textId="77777777" w:rsidR="00990319" w:rsidRPr="00FB642F" w:rsidRDefault="00990319" w:rsidP="00FB642F">
      <w:pPr>
        <w:rPr>
          <w:rFonts w:ascii="Calibri" w:hAnsi="Calibri" w:cs="Calibri"/>
          <w:bCs/>
          <w:sz w:val="22"/>
          <w:szCs w:val="22"/>
        </w:rPr>
      </w:pPr>
    </w:p>
    <w:p w14:paraId="4643D608" w14:textId="7EA8A6C9" w:rsidR="00990319" w:rsidRPr="00990319" w:rsidRDefault="00AF241E" w:rsidP="00990319">
      <w:pPr>
        <w:pStyle w:val="Odstavecseseznamem"/>
        <w:numPr>
          <w:ilvl w:val="0"/>
          <w:numId w:val="12"/>
        </w:numPr>
        <w:rPr>
          <w:rFonts w:ascii="Calibri" w:hAnsi="Calibri" w:cs="Calibri"/>
          <w:bCs/>
          <w:sz w:val="22"/>
          <w:szCs w:val="22"/>
        </w:rPr>
      </w:pPr>
      <w:r>
        <w:rPr>
          <w:rFonts w:ascii="Calibri" w:hAnsi="Calibri" w:cs="Calibri"/>
          <w:bCs/>
          <w:sz w:val="22"/>
          <w:szCs w:val="22"/>
        </w:rPr>
        <w:t xml:space="preserve">Celý byt bude vymalován – bude provedeno vyčištění podkladu a nová malba 2x silikátová vysoce </w:t>
      </w:r>
      <w:proofErr w:type="spellStart"/>
      <w:r>
        <w:rPr>
          <w:rFonts w:ascii="Calibri" w:hAnsi="Calibri" w:cs="Calibri"/>
          <w:bCs/>
          <w:sz w:val="22"/>
          <w:szCs w:val="22"/>
        </w:rPr>
        <w:t>paropropustná</w:t>
      </w:r>
      <w:proofErr w:type="spellEnd"/>
      <w:r>
        <w:rPr>
          <w:rFonts w:ascii="Calibri" w:hAnsi="Calibri" w:cs="Calibri"/>
          <w:bCs/>
          <w:sz w:val="22"/>
          <w:szCs w:val="22"/>
        </w:rPr>
        <w:t xml:space="preserve"> vč. penetrace, odstín bílá matná. Před prováděním maleb musí být veškeré okenní a dveřní výplně zakryty.</w:t>
      </w:r>
    </w:p>
    <w:p w14:paraId="37B7B6A9" w14:textId="77777777" w:rsidR="00990319" w:rsidRPr="00E32F89" w:rsidRDefault="00990319" w:rsidP="00E32F89">
      <w:pPr>
        <w:rPr>
          <w:rFonts w:ascii="Calibri" w:hAnsi="Calibri" w:cs="Calibri"/>
          <w:bCs/>
          <w:sz w:val="22"/>
          <w:szCs w:val="22"/>
        </w:rPr>
      </w:pPr>
    </w:p>
    <w:p w14:paraId="04B02690" w14:textId="3B21A30C" w:rsidR="00AF241E" w:rsidRDefault="00AF241E" w:rsidP="00AF241E">
      <w:pPr>
        <w:pStyle w:val="Odstavecseseznamem"/>
        <w:numPr>
          <w:ilvl w:val="0"/>
          <w:numId w:val="12"/>
        </w:numPr>
        <w:rPr>
          <w:rFonts w:ascii="Calibri" w:hAnsi="Calibri" w:cs="Calibri"/>
          <w:bCs/>
          <w:sz w:val="22"/>
          <w:szCs w:val="22"/>
        </w:rPr>
      </w:pPr>
      <w:r>
        <w:rPr>
          <w:rFonts w:ascii="Calibri" w:hAnsi="Calibri" w:cs="Calibri"/>
          <w:bCs/>
          <w:sz w:val="22"/>
          <w:szCs w:val="22"/>
        </w:rPr>
        <w:t>Před provedením maleb budou demontována svítidla a po vymalování zpětně osazena</w:t>
      </w:r>
    </w:p>
    <w:p w14:paraId="652A8E60" w14:textId="11C5EF26" w:rsidR="00A47172" w:rsidRPr="00A47172" w:rsidRDefault="00A47172" w:rsidP="00A47172">
      <w:pPr>
        <w:pStyle w:val="Odstavecseseznamem"/>
        <w:rPr>
          <w:rFonts w:ascii="Calibri" w:hAnsi="Calibri" w:cs="Calibri"/>
          <w:bCs/>
          <w:sz w:val="22"/>
          <w:szCs w:val="22"/>
        </w:rPr>
      </w:pPr>
    </w:p>
    <w:p w14:paraId="0B2352C2" w14:textId="31BF2604" w:rsidR="00A47172" w:rsidRDefault="00A47172" w:rsidP="00AF241E">
      <w:pPr>
        <w:pStyle w:val="Odstavecseseznamem"/>
        <w:numPr>
          <w:ilvl w:val="0"/>
          <w:numId w:val="12"/>
        </w:numPr>
        <w:rPr>
          <w:rFonts w:ascii="Calibri" w:hAnsi="Calibri" w:cs="Calibri"/>
          <w:bCs/>
          <w:sz w:val="22"/>
          <w:szCs w:val="22"/>
        </w:rPr>
      </w:pPr>
      <w:r>
        <w:rPr>
          <w:rFonts w:ascii="Calibri" w:hAnsi="Calibri" w:cs="Calibri"/>
          <w:bCs/>
          <w:sz w:val="22"/>
          <w:szCs w:val="22"/>
        </w:rPr>
        <w:t xml:space="preserve">Veškeré vnitřní dveře budou dodány nové vč. obložkových zárubní – viz. výpis dveří </w:t>
      </w:r>
    </w:p>
    <w:p w14:paraId="2B064E4E" w14:textId="77777777" w:rsidR="00FB642F" w:rsidRPr="00FB642F" w:rsidRDefault="00FB642F" w:rsidP="00FB642F">
      <w:pPr>
        <w:pStyle w:val="Odstavecseseznamem"/>
        <w:rPr>
          <w:rFonts w:ascii="Calibri" w:hAnsi="Calibri" w:cs="Calibri"/>
          <w:bCs/>
          <w:sz w:val="22"/>
          <w:szCs w:val="22"/>
        </w:rPr>
      </w:pPr>
    </w:p>
    <w:p w14:paraId="1AD651A1" w14:textId="588EEBFA" w:rsidR="00FB642F" w:rsidRDefault="00FB642F" w:rsidP="00AF241E">
      <w:pPr>
        <w:pStyle w:val="Odstavecseseznamem"/>
        <w:numPr>
          <w:ilvl w:val="0"/>
          <w:numId w:val="12"/>
        </w:numPr>
        <w:rPr>
          <w:rFonts w:ascii="Calibri" w:hAnsi="Calibri" w:cs="Calibri"/>
          <w:bCs/>
          <w:sz w:val="22"/>
          <w:szCs w:val="22"/>
        </w:rPr>
      </w:pPr>
      <w:r>
        <w:rPr>
          <w:rFonts w:ascii="Calibri" w:hAnsi="Calibri" w:cs="Calibri"/>
          <w:bCs/>
          <w:sz w:val="22"/>
          <w:szCs w:val="22"/>
        </w:rPr>
        <w:t xml:space="preserve">Budou demontovány stávající police, po provedených výmalbách budou zpětně namontovány. </w:t>
      </w:r>
    </w:p>
    <w:p w14:paraId="79AC914C" w14:textId="77777777" w:rsidR="002F388B" w:rsidRPr="002F388B" w:rsidRDefault="002F388B" w:rsidP="002F388B">
      <w:pPr>
        <w:rPr>
          <w:rFonts w:ascii="Calibri" w:hAnsi="Calibri" w:cs="Calibri"/>
          <w:bCs/>
          <w:sz w:val="22"/>
          <w:szCs w:val="22"/>
        </w:rPr>
      </w:pPr>
    </w:p>
    <w:p w14:paraId="6C4F1515" w14:textId="77777777" w:rsidR="002F388B" w:rsidRDefault="002F388B" w:rsidP="002F388B">
      <w:pPr>
        <w:pStyle w:val="Odstavecseseznamem"/>
        <w:numPr>
          <w:ilvl w:val="0"/>
          <w:numId w:val="12"/>
        </w:numPr>
        <w:rPr>
          <w:rFonts w:ascii="Calibri" w:hAnsi="Calibri" w:cs="Calibri"/>
          <w:bCs/>
          <w:sz w:val="22"/>
          <w:szCs w:val="22"/>
        </w:rPr>
      </w:pPr>
      <w:r>
        <w:rPr>
          <w:rFonts w:ascii="Calibri" w:hAnsi="Calibri" w:cs="Calibri"/>
          <w:bCs/>
          <w:sz w:val="22"/>
          <w:szCs w:val="22"/>
        </w:rPr>
        <w:t xml:space="preserve">Ve vstupním prostoru a kolárně budou doplněny keramické soklíky a bude provedena oprava omítek do výšky 1 m od podlahy (nesoudržné části budou oklepány, b </w:t>
      </w:r>
      <w:proofErr w:type="spellStart"/>
      <w:r>
        <w:rPr>
          <w:rFonts w:ascii="Calibri" w:hAnsi="Calibri" w:cs="Calibri"/>
          <w:bCs/>
          <w:sz w:val="22"/>
          <w:szCs w:val="22"/>
        </w:rPr>
        <w:t>ude</w:t>
      </w:r>
      <w:proofErr w:type="spellEnd"/>
      <w:r>
        <w:rPr>
          <w:rFonts w:ascii="Calibri" w:hAnsi="Calibri" w:cs="Calibri"/>
          <w:bCs/>
          <w:sz w:val="22"/>
          <w:szCs w:val="22"/>
        </w:rPr>
        <w:t xml:space="preserve"> doplněna hrubá jádrová omítka vč. štukové vrstvy </w:t>
      </w:r>
      <w:r w:rsidRPr="00CA6FF6">
        <w:rPr>
          <w:rFonts w:ascii="Calibri" w:hAnsi="Calibri" w:cs="Calibri"/>
          <w:bCs/>
          <w:sz w:val="22"/>
          <w:szCs w:val="22"/>
        </w:rPr>
        <w:t xml:space="preserve">), vstupní prostor a kolárna bude vymalován </w:t>
      </w:r>
      <w:r>
        <w:rPr>
          <w:rFonts w:ascii="Calibri" w:hAnsi="Calibri" w:cs="Calibri"/>
          <w:bCs/>
          <w:sz w:val="22"/>
          <w:szCs w:val="22"/>
        </w:rPr>
        <w:t xml:space="preserve">(bude provedeno vyčištění podkladu a nová malba 2x silikátová vysoce </w:t>
      </w:r>
      <w:proofErr w:type="spellStart"/>
      <w:r>
        <w:rPr>
          <w:rFonts w:ascii="Calibri" w:hAnsi="Calibri" w:cs="Calibri"/>
          <w:bCs/>
          <w:sz w:val="22"/>
          <w:szCs w:val="22"/>
        </w:rPr>
        <w:t>paropropustná</w:t>
      </w:r>
      <w:proofErr w:type="spellEnd"/>
      <w:r>
        <w:rPr>
          <w:rFonts w:ascii="Calibri" w:hAnsi="Calibri" w:cs="Calibri"/>
          <w:bCs/>
          <w:sz w:val="22"/>
          <w:szCs w:val="22"/>
        </w:rPr>
        <w:t xml:space="preserve"> vč. penetrace, odstín bílá matná. Před prováděním maleb musí být veškeré okenní a dveřní výplně zakryty</w:t>
      </w:r>
      <w:r w:rsidRPr="00CA6FF6">
        <w:rPr>
          <w:rFonts w:ascii="Calibri" w:hAnsi="Calibri" w:cs="Calibri"/>
          <w:bCs/>
          <w:sz w:val="22"/>
          <w:szCs w:val="22"/>
        </w:rPr>
        <w:t>)</w:t>
      </w:r>
    </w:p>
    <w:p w14:paraId="0F814772" w14:textId="77777777" w:rsidR="00E440BC" w:rsidRPr="00E440BC" w:rsidRDefault="00E440BC" w:rsidP="00E440BC">
      <w:pPr>
        <w:pStyle w:val="Odstavecseseznamem"/>
        <w:rPr>
          <w:rFonts w:ascii="Calibri" w:hAnsi="Calibri" w:cs="Calibri"/>
          <w:bCs/>
          <w:sz w:val="22"/>
          <w:szCs w:val="22"/>
        </w:rPr>
      </w:pPr>
    </w:p>
    <w:p w14:paraId="30704E08" w14:textId="77777777" w:rsidR="00E440BC" w:rsidRDefault="00E440BC" w:rsidP="00E440BC">
      <w:pPr>
        <w:pStyle w:val="Odstavecseseznamem"/>
        <w:numPr>
          <w:ilvl w:val="0"/>
          <w:numId w:val="12"/>
        </w:numPr>
        <w:rPr>
          <w:rFonts w:ascii="Calibri" w:hAnsi="Calibri" w:cs="Calibri"/>
          <w:bCs/>
          <w:sz w:val="22"/>
          <w:szCs w:val="22"/>
        </w:rPr>
      </w:pPr>
      <w:r>
        <w:rPr>
          <w:rFonts w:ascii="Calibri" w:hAnsi="Calibri" w:cs="Calibri"/>
          <w:bCs/>
          <w:sz w:val="22"/>
          <w:szCs w:val="22"/>
        </w:rPr>
        <w:t xml:space="preserve">Dveře do kolárny budou vyměněny za nové vč. ocelové zárubně. Budou osazeny nové vstupní interiérové protipožární dveře s požární odolností EI 30, zvukový útlum min. 32 dB, vč. nové ocelové zárubně a jejího nátěru, kování bezpečnostní třída 5, dekor dveří a barva zárubní dle stávajících dveří </w:t>
      </w:r>
    </w:p>
    <w:p w14:paraId="5F6E5602" w14:textId="77777777" w:rsidR="00E440BC" w:rsidRDefault="00E440BC" w:rsidP="00E440BC">
      <w:pPr>
        <w:pStyle w:val="Odstavecseseznamem"/>
        <w:ind w:left="1069"/>
        <w:rPr>
          <w:rFonts w:ascii="Calibri" w:hAnsi="Calibri" w:cs="Calibri"/>
          <w:bCs/>
          <w:sz w:val="22"/>
          <w:szCs w:val="22"/>
        </w:rPr>
      </w:pPr>
      <w:r>
        <w:rPr>
          <w:rFonts w:ascii="Calibri" w:hAnsi="Calibri" w:cs="Calibri"/>
          <w:bCs/>
          <w:sz w:val="22"/>
          <w:szCs w:val="22"/>
        </w:rPr>
        <w:lastRenderedPageBreak/>
        <w:t xml:space="preserve">Před zadáním do výroby musí být barva zárubně a dekor dveří odsouhlasen objednatelem </w:t>
      </w:r>
    </w:p>
    <w:p w14:paraId="24C9BB60" w14:textId="77777777" w:rsidR="009730D8" w:rsidRDefault="009730D8" w:rsidP="00E440BC">
      <w:pPr>
        <w:pStyle w:val="Odstavecseseznamem"/>
        <w:ind w:left="1069"/>
        <w:rPr>
          <w:rFonts w:ascii="Calibri" w:hAnsi="Calibri" w:cs="Calibri"/>
          <w:bCs/>
          <w:sz w:val="22"/>
          <w:szCs w:val="22"/>
        </w:rPr>
      </w:pPr>
    </w:p>
    <w:p w14:paraId="06C83143" w14:textId="77777777" w:rsidR="009730D8" w:rsidRPr="000B25EE" w:rsidRDefault="009730D8" w:rsidP="009730D8">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demontáž hasicího přístroje, svítidel, nástěnek apod. a po provedení maleb budou zpět namontovány </w:t>
      </w:r>
    </w:p>
    <w:p w14:paraId="54EC42B6" w14:textId="77777777" w:rsidR="009730D8" w:rsidRDefault="009730D8" w:rsidP="00E440BC">
      <w:pPr>
        <w:pStyle w:val="Odstavecseseznamem"/>
        <w:ind w:left="1069"/>
        <w:rPr>
          <w:rFonts w:ascii="Calibri" w:hAnsi="Calibri" w:cs="Calibri"/>
          <w:bCs/>
          <w:sz w:val="22"/>
          <w:szCs w:val="22"/>
        </w:rPr>
      </w:pPr>
    </w:p>
    <w:p w14:paraId="26E6610C" w14:textId="77777777" w:rsidR="00E440BC" w:rsidRPr="00CA6FF6" w:rsidRDefault="00E440BC" w:rsidP="00E440BC">
      <w:pPr>
        <w:pStyle w:val="Odstavecseseznamem"/>
        <w:ind w:left="1069"/>
        <w:rPr>
          <w:rFonts w:ascii="Calibri" w:hAnsi="Calibri" w:cs="Calibri"/>
          <w:bCs/>
          <w:sz w:val="22"/>
          <w:szCs w:val="22"/>
        </w:rPr>
      </w:pPr>
    </w:p>
    <w:p w14:paraId="6F25C66C" w14:textId="77777777" w:rsidR="00E440BC" w:rsidRDefault="00E440BC" w:rsidP="00E440BC">
      <w:pPr>
        <w:pStyle w:val="Odstavecseseznamem"/>
        <w:ind w:left="1069"/>
        <w:rPr>
          <w:rFonts w:ascii="Calibri" w:hAnsi="Calibri" w:cs="Calibri"/>
          <w:bCs/>
          <w:sz w:val="22"/>
          <w:szCs w:val="22"/>
        </w:rPr>
      </w:pPr>
    </w:p>
    <w:p w14:paraId="29ED4BCA" w14:textId="77777777" w:rsidR="00E440BC" w:rsidRPr="00CA6FF6" w:rsidRDefault="00E440BC" w:rsidP="00E440BC">
      <w:pPr>
        <w:pStyle w:val="Odstavecseseznamem"/>
        <w:ind w:left="1069"/>
        <w:rPr>
          <w:rFonts w:ascii="Calibri" w:hAnsi="Calibri" w:cs="Calibri"/>
          <w:bCs/>
          <w:sz w:val="22"/>
          <w:szCs w:val="22"/>
        </w:rPr>
      </w:pPr>
    </w:p>
    <w:p w14:paraId="30E8A5DD" w14:textId="77777777" w:rsidR="002F388B" w:rsidRDefault="002F388B" w:rsidP="002F388B">
      <w:pPr>
        <w:pStyle w:val="Odstavecseseznamem"/>
        <w:ind w:left="1069"/>
        <w:rPr>
          <w:rFonts w:ascii="Calibri" w:hAnsi="Calibri" w:cs="Calibri"/>
          <w:bCs/>
          <w:sz w:val="22"/>
          <w:szCs w:val="22"/>
        </w:rPr>
      </w:pPr>
    </w:p>
    <w:p w14:paraId="217E3FA3" w14:textId="77777777" w:rsidR="002F388B" w:rsidRDefault="002F388B" w:rsidP="002F388B">
      <w:pPr>
        <w:pStyle w:val="Odstavecseseznamem"/>
        <w:ind w:left="1069"/>
        <w:rPr>
          <w:rFonts w:ascii="Calibri" w:hAnsi="Calibri" w:cs="Calibri"/>
          <w:bCs/>
          <w:sz w:val="22"/>
          <w:szCs w:val="22"/>
        </w:rPr>
      </w:pPr>
    </w:p>
    <w:p w14:paraId="473B01C9" w14:textId="645082FD" w:rsidR="00AF241E" w:rsidRPr="00AF241E" w:rsidRDefault="00AF241E" w:rsidP="00AF241E">
      <w:pPr>
        <w:pStyle w:val="Odstavecseseznamem"/>
        <w:rPr>
          <w:rFonts w:ascii="Calibri" w:hAnsi="Calibri" w:cs="Calibri"/>
          <w:bCs/>
          <w:sz w:val="22"/>
          <w:szCs w:val="22"/>
        </w:rPr>
      </w:pPr>
    </w:p>
    <w:p w14:paraId="75B1F619" w14:textId="024D00BB" w:rsidR="00AF241E" w:rsidRPr="00AF241E" w:rsidRDefault="00AF241E" w:rsidP="00AF241E">
      <w:pPr>
        <w:pStyle w:val="Odstavecseseznamem"/>
        <w:ind w:left="1069"/>
        <w:rPr>
          <w:rFonts w:ascii="Calibri" w:hAnsi="Calibri" w:cs="Calibri"/>
          <w:bCs/>
          <w:sz w:val="22"/>
          <w:szCs w:val="22"/>
        </w:rPr>
      </w:pPr>
    </w:p>
    <w:p w14:paraId="210BF2A7" w14:textId="1A84E7B2" w:rsidR="001E6BE9" w:rsidRDefault="001E6BE9" w:rsidP="001E6BE9">
      <w:pPr>
        <w:pStyle w:val="Odstavecseseznamem"/>
        <w:ind w:left="1069"/>
        <w:rPr>
          <w:rFonts w:ascii="Calibri" w:hAnsi="Calibri" w:cs="Calibri"/>
          <w:bCs/>
          <w:sz w:val="22"/>
          <w:szCs w:val="22"/>
        </w:rPr>
      </w:pPr>
    </w:p>
    <w:p w14:paraId="42B1756C" w14:textId="70E5F19A" w:rsidR="001E6BE9" w:rsidRPr="001E6BE9" w:rsidRDefault="001E6BE9" w:rsidP="001E6BE9">
      <w:pPr>
        <w:rPr>
          <w:rFonts w:ascii="Calibri" w:hAnsi="Calibri" w:cs="Calibri"/>
          <w:bCs/>
          <w:sz w:val="22"/>
          <w:szCs w:val="22"/>
        </w:rPr>
      </w:pPr>
    </w:p>
    <w:p w14:paraId="14B32955" w14:textId="3421F89E" w:rsidR="0011465E" w:rsidRDefault="0011465E" w:rsidP="00CE1CDF">
      <w:pPr>
        <w:rPr>
          <w:rFonts w:ascii="Calibri" w:hAnsi="Calibri" w:cs="Calibri"/>
          <w:sz w:val="22"/>
          <w:szCs w:val="22"/>
        </w:rPr>
      </w:pPr>
    </w:p>
    <w:p w14:paraId="0BD69C1D" w14:textId="3D27C64D" w:rsidR="00687E25" w:rsidRPr="00240833" w:rsidRDefault="00687E25" w:rsidP="000B7EAF">
      <w:pPr>
        <w:ind w:left="709"/>
        <w:rPr>
          <w:rFonts w:ascii="Calibri" w:hAnsi="Calibri" w:cs="Calibri"/>
          <w:sz w:val="22"/>
          <w:szCs w:val="22"/>
        </w:rPr>
      </w:pPr>
    </w:p>
    <w:p w14:paraId="1209317C" w14:textId="2C6C0562" w:rsidR="0003677E" w:rsidRPr="00240833" w:rsidRDefault="001E6BE9" w:rsidP="000B7EAF">
      <w:pPr>
        <w:ind w:left="709"/>
        <w:rPr>
          <w:rFonts w:ascii="Calibri" w:hAnsi="Calibri" w:cs="Calibri"/>
          <w:sz w:val="22"/>
          <w:szCs w:val="22"/>
        </w:rPr>
      </w:pPr>
      <w:r>
        <w:rPr>
          <w:rFonts w:ascii="Calibri" w:hAnsi="Calibri" w:cs="Calibri"/>
          <w:sz w:val="22"/>
          <w:szCs w:val="22"/>
        </w:rPr>
        <w:t>Barbora Kyšková</w:t>
      </w:r>
    </w:p>
    <w:p w14:paraId="1D0556AC" w14:textId="51A4C8E6" w:rsidR="002056F4" w:rsidRPr="00240833" w:rsidRDefault="0003677E" w:rsidP="000B7EAF">
      <w:pPr>
        <w:ind w:left="709"/>
        <w:rPr>
          <w:rFonts w:ascii="Calibri" w:hAnsi="Calibri" w:cs="Calibri"/>
          <w:sz w:val="22"/>
          <w:szCs w:val="22"/>
        </w:rPr>
      </w:pPr>
      <w:r w:rsidRPr="00240833">
        <w:rPr>
          <w:rFonts w:ascii="Calibri" w:hAnsi="Calibri" w:cs="Calibri"/>
          <w:sz w:val="22"/>
          <w:szCs w:val="22"/>
        </w:rPr>
        <w:t>V</w:t>
      </w:r>
      <w:r w:rsidR="0083082D" w:rsidRPr="00240833">
        <w:rPr>
          <w:rFonts w:ascii="Calibri" w:hAnsi="Calibri" w:cs="Calibri"/>
          <w:sz w:val="22"/>
          <w:szCs w:val="22"/>
        </w:rPr>
        <w:t> </w:t>
      </w:r>
      <w:r w:rsidRPr="00240833">
        <w:rPr>
          <w:rFonts w:ascii="Calibri" w:hAnsi="Calibri" w:cs="Calibri"/>
          <w:sz w:val="22"/>
          <w:szCs w:val="22"/>
        </w:rPr>
        <w:t>Ostravě</w:t>
      </w:r>
      <w:r w:rsidR="0083082D" w:rsidRPr="00240833">
        <w:rPr>
          <w:rFonts w:ascii="Calibri" w:hAnsi="Calibri" w:cs="Calibri"/>
          <w:sz w:val="22"/>
          <w:szCs w:val="22"/>
        </w:rPr>
        <w:t xml:space="preserve"> </w:t>
      </w:r>
      <w:r w:rsidR="001E6BE9">
        <w:rPr>
          <w:rFonts w:ascii="Calibri" w:hAnsi="Calibri" w:cs="Calibri"/>
          <w:sz w:val="22"/>
          <w:szCs w:val="22"/>
        </w:rPr>
        <w:t>11</w:t>
      </w:r>
      <w:r w:rsidR="00106DDA">
        <w:rPr>
          <w:rFonts w:ascii="Calibri" w:hAnsi="Calibri" w:cs="Calibri"/>
          <w:sz w:val="22"/>
          <w:szCs w:val="22"/>
        </w:rPr>
        <w:t>/2024</w:t>
      </w:r>
    </w:p>
    <w:sectPr w:rsidR="002056F4" w:rsidRPr="00240833" w:rsidSect="00D63A51">
      <w:headerReference w:type="default" r:id="rId10"/>
      <w:footerReference w:type="default" r:id="rId11"/>
      <w:pgSz w:w="11900" w:h="16840"/>
      <w:pgMar w:top="1418" w:right="851" w:bottom="1134" w:left="1134" w:header="709" w:footer="5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5EA58" w14:textId="77777777" w:rsidR="00D33B30" w:rsidRDefault="00D33B30">
      <w:r>
        <w:separator/>
      </w:r>
    </w:p>
  </w:endnote>
  <w:endnote w:type="continuationSeparator" w:id="0">
    <w:p w14:paraId="68811103" w14:textId="77777777" w:rsidR="00D33B30" w:rsidRDefault="00D33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C0B4C" w14:textId="77777777" w:rsidR="00960399" w:rsidRDefault="00960399">
    <w:r w:rsidRPr="009D0AC1">
      <w:rPr>
        <w:rFonts w:ascii="Calibri" w:hAnsi="Calibri" w:cs="Calibri"/>
        <w:sz w:val="18"/>
        <w:szCs w:val="18"/>
      </w:rPr>
      <w:t>Průvodní a souhrnná technická zpráva, část D.1.1 a)</w:t>
    </w:r>
    <w:r w:rsidRPr="009D0AC1">
      <w:rPr>
        <w:rFonts w:ascii="Calibri" w:hAnsi="Calibri" w:cs="Calibri"/>
        <w:sz w:val="18"/>
        <w:szCs w:val="18"/>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sidR="00396A6E">
      <w:rPr>
        <w:rFonts w:ascii="Arial" w:eastAsia="Arial" w:hAnsi="Arial" w:cs="Arial"/>
        <w:sz w:val="20"/>
        <w:szCs w:val="20"/>
      </w:rPr>
      <w:fldChar w:fldCharType="begin"/>
    </w:r>
    <w:r>
      <w:rPr>
        <w:rFonts w:ascii="Arial" w:eastAsia="Arial" w:hAnsi="Arial" w:cs="Arial"/>
        <w:sz w:val="20"/>
        <w:szCs w:val="20"/>
      </w:rPr>
      <w:instrText xml:space="preserve"> PAGE </w:instrText>
    </w:r>
    <w:r w:rsidR="00396A6E">
      <w:rPr>
        <w:rFonts w:ascii="Arial" w:eastAsia="Arial" w:hAnsi="Arial" w:cs="Arial"/>
        <w:sz w:val="20"/>
        <w:szCs w:val="20"/>
      </w:rPr>
      <w:fldChar w:fldCharType="separate"/>
    </w:r>
    <w:r w:rsidR="000E5024">
      <w:rPr>
        <w:rFonts w:ascii="Arial" w:eastAsia="Arial" w:hAnsi="Arial" w:cs="Arial"/>
        <w:noProof/>
        <w:sz w:val="20"/>
        <w:szCs w:val="20"/>
      </w:rPr>
      <w:t>5</w:t>
    </w:r>
    <w:r w:rsidR="00396A6E">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B0B1C" w14:textId="77777777" w:rsidR="00D33B30" w:rsidRDefault="00D33B30">
      <w:r>
        <w:separator/>
      </w:r>
    </w:p>
  </w:footnote>
  <w:footnote w:type="continuationSeparator" w:id="0">
    <w:p w14:paraId="6DBAF0EF" w14:textId="77777777" w:rsidR="00D33B30" w:rsidRDefault="00D33B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B5F48" w14:textId="1433A838" w:rsidR="004030E7" w:rsidRPr="009D0AC1" w:rsidRDefault="00E771C1" w:rsidP="004030E7">
    <w:pPr>
      <w:pStyle w:val="Zpat"/>
      <w:rPr>
        <w:rFonts w:ascii="Calibri" w:hAnsi="Calibri" w:cs="Calibri"/>
        <w:sz w:val="18"/>
        <w:szCs w:val="18"/>
      </w:rPr>
    </w:pPr>
    <w:r w:rsidRPr="009D0AC1">
      <w:rPr>
        <w:rFonts w:ascii="Calibri" w:hAnsi="Calibri" w:cs="Calibri"/>
        <w:noProof/>
        <w:sz w:val="18"/>
        <w:szCs w:val="18"/>
      </w:rPr>
      <w:drawing>
        <wp:anchor distT="152400" distB="152400" distL="152400" distR="152400" simplePos="0" relativeHeight="251657216" behindDoc="1" locked="0" layoutInCell="1" allowOverlap="1" wp14:anchorId="1FEBADB9" wp14:editId="2F744EC0">
          <wp:simplePos x="0" y="0"/>
          <wp:positionH relativeFrom="page">
            <wp:posOffset>5177994</wp:posOffset>
          </wp:positionH>
          <wp:positionV relativeFrom="page">
            <wp:posOffset>510794</wp:posOffset>
          </wp:positionV>
          <wp:extent cx="1870710" cy="496570"/>
          <wp:effectExtent l="0" t="0" r="0" b="0"/>
          <wp:wrapNone/>
          <wp:docPr id="13" name="officeArt obj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fficeArt objec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0710" cy="496570"/>
                  </a:xfrm>
                  <a:prstGeom prst="rect">
                    <a:avLst/>
                  </a:prstGeom>
                  <a:noFill/>
                  <a:ln>
                    <a:noFill/>
                  </a:ln>
                </pic:spPr>
              </pic:pic>
            </a:graphicData>
          </a:graphic>
        </wp:anchor>
      </w:drawing>
    </w:r>
    <w:r w:rsidR="00C666F8" w:rsidRPr="009D0AC1">
      <w:rPr>
        <w:rFonts w:ascii="Calibri" w:hAnsi="Calibri" w:cs="Calibri"/>
        <w:noProof/>
        <w:sz w:val="18"/>
        <w:szCs w:val="18"/>
      </w:rPr>
      <mc:AlternateContent>
        <mc:Choice Requires="wps">
          <w:drawing>
            <wp:anchor distT="152398" distB="152398" distL="152400" distR="152400" simplePos="0" relativeHeight="251658240" behindDoc="1" locked="0" layoutInCell="1" allowOverlap="1" wp14:anchorId="1BFDEC9A" wp14:editId="776A830B">
              <wp:simplePos x="0" y="0"/>
              <wp:positionH relativeFrom="page">
                <wp:posOffset>19050</wp:posOffset>
              </wp:positionH>
              <wp:positionV relativeFrom="page">
                <wp:posOffset>10023475</wp:posOffset>
              </wp:positionV>
              <wp:extent cx="7658100" cy="0"/>
              <wp:effectExtent l="0" t="0" r="0" b="25400"/>
              <wp:wrapNone/>
              <wp:docPr id="335540412"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7658100" cy="0"/>
                      </a:xfrm>
                      <a:prstGeom prst="line">
                        <a:avLst/>
                      </a:prstGeom>
                      <a:noFill/>
                      <a:ln w="12700">
                        <a:solidFill>
                          <a:srgbClr val="A5A5A5"/>
                        </a:solidFill>
                        <a:round/>
                        <a:headEnd/>
                        <a:tailEnd/>
                      </a:ln>
                      <a:effectLst>
                        <a:outerShdw dist="20000" dir="5400000" rotWithShape="0">
                          <a:srgbClr val="808080">
                            <a:alpha val="37997"/>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2E371" id="officeArt object" o:spid="_x0000_s1026" style="position:absolute;flip:x y;z-index:-251658240;visibility:visible;mso-wrap-style:square;mso-width-percent:0;mso-height-percent:0;mso-wrap-distance-left:12pt;mso-wrap-distance-top:4.23328mm;mso-wrap-distance-right:12pt;mso-wrap-distance-bottom:4.23328mm;mso-position-horizontal:absolute;mso-position-horizontal-relative:page;mso-position-vertical:absolute;mso-position-vertical-relative:page;mso-width-percent:0;mso-height-percent:0;mso-width-relative:page;mso-height-relative:page" from="1.5pt,789.25pt" to="604.5pt,789.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" strokecolor="#a5a5a5" strokeweight="1pt">
              <v:shadow on="t" opacity="24901f" origin=",.5" offset="0,.55556mm"/>
              <o:lock v:ext="edit" shapetype="f"/>
              <w10:wrap anchorx="page" anchory="page"/>
            </v:line>
          </w:pict>
        </mc:Fallback>
      </mc:AlternateContent>
    </w:r>
    <w:r w:rsidR="008E4FAB">
      <w:rPr>
        <w:rFonts w:ascii="Calibri" w:hAnsi="Calibri" w:cs="Calibri"/>
        <w:noProof/>
        <w:sz w:val="18"/>
        <w:szCs w:val="18"/>
      </w:rPr>
      <w:t>Oprava bytů po povodni – Červená kolonie v Bohumíně</w:t>
    </w:r>
  </w:p>
  <w:p w14:paraId="07D8EAFE" w14:textId="4D4C4408" w:rsidR="00DF6C29" w:rsidRDefault="00DF6C29" w:rsidP="004030E7">
    <w:pPr>
      <w:pStyle w:val="Zpat"/>
      <w:rPr>
        <w:rFonts w:ascii="Tahoma" w:eastAsia="Tahoma" w:hAnsi="Tahoma" w:cs="Tahoma"/>
        <w:sz w:val="10"/>
        <w:szCs w:val="10"/>
      </w:rPr>
    </w:pPr>
  </w:p>
  <w:p w14:paraId="27BBD124" w14:textId="77777777" w:rsidR="00DF6C29" w:rsidRDefault="00DF6C29" w:rsidP="00DF6C29">
    <w:pPr>
      <w:pStyle w:val="Zhlav"/>
      <w:pBdr>
        <w:bottom w:val="dotted" w:sz="4" w:space="0" w:color="000000"/>
      </w:pBdr>
      <w:rPr>
        <w:rFonts w:ascii="Tahoma" w:eastAsia="Tahoma" w:hAnsi="Tahoma" w:cs="Tahoma"/>
        <w:sz w:val="10"/>
        <w:szCs w:val="10"/>
      </w:rPr>
    </w:pPr>
  </w:p>
  <w:p w14:paraId="6B5314C3" w14:textId="77777777" w:rsidR="00DF6C29" w:rsidRDefault="00DF6C29" w:rsidP="00DF6C29">
    <w:pPr>
      <w:pStyle w:val="Zhlav"/>
      <w:pBdr>
        <w:bottom w:val="dotted" w:sz="4" w:space="0" w:color="000000"/>
      </w:pBdr>
      <w:rPr>
        <w:rFonts w:ascii="Tahoma" w:eastAsia="Tahoma" w:hAnsi="Tahoma" w:cs="Tahoma"/>
        <w:sz w:val="10"/>
        <w:szCs w:val="10"/>
      </w:rPr>
    </w:pPr>
  </w:p>
  <w:p w14:paraId="6D507001" w14:textId="77777777" w:rsidR="00DF6C29" w:rsidRDefault="00DF6C29" w:rsidP="00DF6C29">
    <w:pPr>
      <w:pStyle w:val="Zhlav"/>
      <w:pBdr>
        <w:bottom w:val="dotted" w:sz="4" w:space="0" w:color="000000"/>
      </w:pBdr>
      <w:rPr>
        <w:rFonts w:ascii="Tahoma" w:eastAsia="Tahoma" w:hAnsi="Tahoma" w:cs="Tahoma"/>
        <w:sz w:val="10"/>
        <w:szCs w:val="10"/>
      </w:rPr>
    </w:pPr>
  </w:p>
  <w:p w14:paraId="41E5B73F" w14:textId="77777777" w:rsidR="0083082D" w:rsidRDefault="008308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E178D"/>
    <w:multiLevelType w:val="hybridMultilevel"/>
    <w:tmpl w:val="8B907840"/>
    <w:lvl w:ilvl="0" w:tplc="78862A6A">
      <w:start w:val="1"/>
      <w:numFmt w:val="bullet"/>
      <w:lvlText w:val="-"/>
      <w:lvlJc w:val="left"/>
      <w:pPr>
        <w:ind w:left="1069" w:hanging="360"/>
      </w:pPr>
      <w:rPr>
        <w:rFonts w:ascii="Calibri" w:eastAsia="Arial Unicode MS"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E9B7813"/>
    <w:multiLevelType w:val="multilevel"/>
    <w:tmpl w:val="9B48B26C"/>
    <w:lvl w:ilvl="0">
      <w:start w:val="1"/>
      <w:numFmt w:val="bullet"/>
      <w:lvlText w:val="V"/>
      <w:lvlJc w:val="left"/>
      <w:rPr>
        <w:rFonts w:ascii="Verdana" w:eastAsia="Verdana" w:hAnsi="Verdana" w:cs="Verdana"/>
        <w:b w:val="0"/>
        <w:bCs w:val="0"/>
        <w:i w:val="0"/>
        <w:iCs w:val="0"/>
        <w:smallCaps w:val="0"/>
        <w:strike w:val="0"/>
        <w:color w:val="000000"/>
        <w:spacing w:val="0"/>
        <w:w w:val="100"/>
        <w:position w:val="0"/>
        <w:sz w:val="16"/>
        <w:szCs w:val="16"/>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B26285"/>
    <w:multiLevelType w:val="hybridMultilevel"/>
    <w:tmpl w:val="8898D1C8"/>
    <w:lvl w:ilvl="0" w:tplc="68921E74">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335F7FA0"/>
    <w:multiLevelType w:val="multilevel"/>
    <w:tmpl w:val="E35A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DE47A5"/>
    <w:multiLevelType w:val="hybridMultilevel"/>
    <w:tmpl w:val="78828720"/>
    <w:styleLink w:val="Importovanstyl3"/>
    <w:lvl w:ilvl="0" w:tplc="5B18159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2C363E">
      <w:start w:val="1"/>
      <w:numFmt w:val="lowerLetter"/>
      <w:lvlText w:val="%2."/>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48B3D6">
      <w:start w:val="1"/>
      <w:numFmt w:val="lowerRoman"/>
      <w:lvlText w:val="%3."/>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20C70C">
      <w:start w:val="1"/>
      <w:numFmt w:val="decimal"/>
      <w:lvlText w:val="%4."/>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D8B5C8">
      <w:start w:val="1"/>
      <w:numFmt w:val="lowerLetter"/>
      <w:lvlText w:val="%5."/>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F727DEC">
      <w:start w:val="1"/>
      <w:numFmt w:val="lowerRoman"/>
      <w:lvlText w:val="%6."/>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FAACAA">
      <w:start w:val="1"/>
      <w:numFmt w:val="decimal"/>
      <w:lvlText w:val="%7."/>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409E12">
      <w:start w:val="1"/>
      <w:numFmt w:val="lowerLetter"/>
      <w:lvlText w:val="%8."/>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18D362">
      <w:start w:val="1"/>
      <w:numFmt w:val="lowerRoman"/>
      <w:lvlText w:val="%9."/>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63576BC"/>
    <w:multiLevelType w:val="hybridMultilevel"/>
    <w:tmpl w:val="D8A4BA6C"/>
    <w:styleLink w:val="Importovanstyl2"/>
    <w:lvl w:ilvl="0" w:tplc="46F80CA6">
      <w:start w:val="1"/>
      <w:numFmt w:val="lowerLetter"/>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80C3C4">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2EE40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08A734">
      <w:start w:val="1"/>
      <w:numFmt w:val="decimal"/>
      <w:suff w:val="nothing"/>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068922">
      <w:start w:val="1"/>
      <w:numFmt w:val="lowerLetter"/>
      <w:suff w:val="nothing"/>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C23B82">
      <w:start w:val="1"/>
      <w:numFmt w:val="lowerRoman"/>
      <w:suff w:val="nothing"/>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A26FD2">
      <w:start w:val="1"/>
      <w:numFmt w:val="decimal"/>
      <w:suff w:val="nothing"/>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4C7BE4">
      <w:start w:val="1"/>
      <w:numFmt w:val="lowerLetter"/>
      <w:suff w:val="nothing"/>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42E7DE">
      <w:start w:val="1"/>
      <w:numFmt w:val="lowerRoman"/>
      <w:suff w:val="nothing"/>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7162AD4"/>
    <w:multiLevelType w:val="hybridMultilevel"/>
    <w:tmpl w:val="D8A4BA6C"/>
    <w:numStyleLink w:val="Importovanstyl2"/>
  </w:abstractNum>
  <w:abstractNum w:abstractNumId="7" w15:restartNumberingAfterBreak="0">
    <w:nsid w:val="58087E1B"/>
    <w:multiLevelType w:val="hybridMultilevel"/>
    <w:tmpl w:val="E63E6DEA"/>
    <w:numStyleLink w:val="Odrky"/>
  </w:abstractNum>
  <w:abstractNum w:abstractNumId="8" w15:restartNumberingAfterBreak="0">
    <w:nsid w:val="5F050D5A"/>
    <w:multiLevelType w:val="hybridMultilevel"/>
    <w:tmpl w:val="E63E6DEA"/>
    <w:styleLink w:val="Odrky"/>
    <w:lvl w:ilvl="0" w:tplc="3CF860B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32483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FC43F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E25C62">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EE44B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EEECB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7493D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0ABCA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C2AC5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FE76C40"/>
    <w:multiLevelType w:val="hybridMultilevel"/>
    <w:tmpl w:val="78828720"/>
    <w:numStyleLink w:val="Importovanstyl3"/>
  </w:abstractNum>
  <w:abstractNum w:abstractNumId="10" w15:restartNumberingAfterBreak="0">
    <w:nsid w:val="7F9C47E7"/>
    <w:multiLevelType w:val="hybridMultilevel"/>
    <w:tmpl w:val="E63E6DEA"/>
    <w:numStyleLink w:val="Odrky"/>
  </w:abstractNum>
  <w:num w:numId="1" w16cid:durableId="1231191454">
    <w:abstractNumId w:val="5"/>
  </w:num>
  <w:num w:numId="2" w16cid:durableId="583539051">
    <w:abstractNumId w:val="6"/>
  </w:num>
  <w:num w:numId="3" w16cid:durableId="1077244998">
    <w:abstractNumId w:val="4"/>
  </w:num>
  <w:num w:numId="4" w16cid:durableId="317921091">
    <w:abstractNumId w:val="9"/>
  </w:num>
  <w:num w:numId="5" w16cid:durableId="1000542448">
    <w:abstractNumId w:val="9"/>
    <w:lvlOverride w:ilvl="0">
      <w:lvl w:ilvl="0" w:tplc="62780246">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84449808">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D7CAE706">
        <w:start w:val="1"/>
        <w:numFmt w:val="lowerRoman"/>
        <w:lvlText w:val="%3."/>
        <w:lvlJc w:val="left"/>
        <w:pPr>
          <w:tabs>
            <w:tab w:val="num" w:pos="2124"/>
          </w:tabs>
          <w:ind w:left="2136" w:hanging="26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96E0B664">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8C32001E">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F6C6CABE">
        <w:start w:val="1"/>
        <w:numFmt w:val="lowerRoman"/>
        <w:lvlText w:val="%6."/>
        <w:lvlJc w:val="left"/>
        <w:pPr>
          <w:tabs>
            <w:tab w:val="num" w:pos="4248"/>
          </w:tabs>
          <w:ind w:left="4260"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9486680C">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3138B09C">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CFB047BA">
        <w:start w:val="1"/>
        <w:numFmt w:val="lowerRoman"/>
        <w:lvlText w:val="%9."/>
        <w:lvlJc w:val="left"/>
        <w:pPr>
          <w:tabs>
            <w:tab w:val="num" w:pos="6372"/>
          </w:tabs>
          <w:ind w:left="6384" w:hanging="19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16cid:durableId="427503682">
    <w:abstractNumId w:val="8"/>
  </w:num>
  <w:num w:numId="7" w16cid:durableId="703477988">
    <w:abstractNumId w:val="10"/>
  </w:num>
  <w:num w:numId="8" w16cid:durableId="972977348">
    <w:abstractNumId w:val="1"/>
  </w:num>
  <w:num w:numId="9" w16cid:durableId="298848520">
    <w:abstractNumId w:val="7"/>
  </w:num>
  <w:num w:numId="10" w16cid:durableId="583417534">
    <w:abstractNumId w:val="2"/>
  </w:num>
  <w:num w:numId="11" w16cid:durableId="1816753409">
    <w:abstractNumId w:val="3"/>
  </w:num>
  <w:num w:numId="12" w16cid:durableId="195393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6F4"/>
    <w:rsid w:val="00004713"/>
    <w:rsid w:val="00004CAC"/>
    <w:rsid w:val="00014C97"/>
    <w:rsid w:val="0003677E"/>
    <w:rsid w:val="00042441"/>
    <w:rsid w:val="000539C4"/>
    <w:rsid w:val="00055547"/>
    <w:rsid w:val="00055F61"/>
    <w:rsid w:val="00056040"/>
    <w:rsid w:val="0006343A"/>
    <w:rsid w:val="00097E7D"/>
    <w:rsid w:val="000B29A5"/>
    <w:rsid w:val="000B7EAF"/>
    <w:rsid w:val="000E5024"/>
    <w:rsid w:val="000F393A"/>
    <w:rsid w:val="00106DDA"/>
    <w:rsid w:val="0011217D"/>
    <w:rsid w:val="0011465E"/>
    <w:rsid w:val="00117421"/>
    <w:rsid w:val="00124829"/>
    <w:rsid w:val="0013695E"/>
    <w:rsid w:val="00145BE7"/>
    <w:rsid w:val="00146FE2"/>
    <w:rsid w:val="00156AA1"/>
    <w:rsid w:val="001639F5"/>
    <w:rsid w:val="00182DD2"/>
    <w:rsid w:val="00185EAB"/>
    <w:rsid w:val="001928ED"/>
    <w:rsid w:val="001A05E7"/>
    <w:rsid w:val="001A1381"/>
    <w:rsid w:val="001D02F4"/>
    <w:rsid w:val="001E51E4"/>
    <w:rsid w:val="001E6BE9"/>
    <w:rsid w:val="001E741F"/>
    <w:rsid w:val="00204385"/>
    <w:rsid w:val="002056F4"/>
    <w:rsid w:val="00223AD2"/>
    <w:rsid w:val="00226CEE"/>
    <w:rsid w:val="00231A3E"/>
    <w:rsid w:val="00240833"/>
    <w:rsid w:val="00247D75"/>
    <w:rsid w:val="0027126E"/>
    <w:rsid w:val="002758D2"/>
    <w:rsid w:val="00286B6A"/>
    <w:rsid w:val="00290762"/>
    <w:rsid w:val="00294FF4"/>
    <w:rsid w:val="002B710F"/>
    <w:rsid w:val="002F388B"/>
    <w:rsid w:val="002F7176"/>
    <w:rsid w:val="00300496"/>
    <w:rsid w:val="003063BC"/>
    <w:rsid w:val="00310064"/>
    <w:rsid w:val="00325674"/>
    <w:rsid w:val="0033112C"/>
    <w:rsid w:val="00331A54"/>
    <w:rsid w:val="0034581C"/>
    <w:rsid w:val="00361D36"/>
    <w:rsid w:val="00373383"/>
    <w:rsid w:val="00381713"/>
    <w:rsid w:val="003834AF"/>
    <w:rsid w:val="00387FB7"/>
    <w:rsid w:val="00393998"/>
    <w:rsid w:val="00394A8D"/>
    <w:rsid w:val="00396A6E"/>
    <w:rsid w:val="003A566D"/>
    <w:rsid w:val="003A6B68"/>
    <w:rsid w:val="003B3E85"/>
    <w:rsid w:val="003D2BE0"/>
    <w:rsid w:val="003D6292"/>
    <w:rsid w:val="004007A4"/>
    <w:rsid w:val="0040251D"/>
    <w:rsid w:val="004030E7"/>
    <w:rsid w:val="004360F9"/>
    <w:rsid w:val="004370B2"/>
    <w:rsid w:val="00441882"/>
    <w:rsid w:val="004423E8"/>
    <w:rsid w:val="0044272D"/>
    <w:rsid w:val="00457E2B"/>
    <w:rsid w:val="00472164"/>
    <w:rsid w:val="00472A52"/>
    <w:rsid w:val="004736B4"/>
    <w:rsid w:val="004A35BD"/>
    <w:rsid w:val="004A6F27"/>
    <w:rsid w:val="004C03EB"/>
    <w:rsid w:val="004C6448"/>
    <w:rsid w:val="004D7422"/>
    <w:rsid w:val="004E33A2"/>
    <w:rsid w:val="00515F8C"/>
    <w:rsid w:val="005252DD"/>
    <w:rsid w:val="00525331"/>
    <w:rsid w:val="00533D8F"/>
    <w:rsid w:val="00540BF3"/>
    <w:rsid w:val="00563D5A"/>
    <w:rsid w:val="0057475F"/>
    <w:rsid w:val="00575862"/>
    <w:rsid w:val="00575D42"/>
    <w:rsid w:val="00590C13"/>
    <w:rsid w:val="0059335A"/>
    <w:rsid w:val="00594DE9"/>
    <w:rsid w:val="005A1011"/>
    <w:rsid w:val="005A50B2"/>
    <w:rsid w:val="005C204E"/>
    <w:rsid w:val="005C3465"/>
    <w:rsid w:val="005E40F7"/>
    <w:rsid w:val="005F0B16"/>
    <w:rsid w:val="006000B2"/>
    <w:rsid w:val="00601061"/>
    <w:rsid w:val="00606925"/>
    <w:rsid w:val="00627F7A"/>
    <w:rsid w:val="00683F7E"/>
    <w:rsid w:val="0068767A"/>
    <w:rsid w:val="00687E25"/>
    <w:rsid w:val="006924A7"/>
    <w:rsid w:val="006B6AFF"/>
    <w:rsid w:val="006D5ED3"/>
    <w:rsid w:val="006E0DCE"/>
    <w:rsid w:val="006E4495"/>
    <w:rsid w:val="006E75B5"/>
    <w:rsid w:val="00702D4D"/>
    <w:rsid w:val="00711F25"/>
    <w:rsid w:val="007338B6"/>
    <w:rsid w:val="00754A29"/>
    <w:rsid w:val="00756C61"/>
    <w:rsid w:val="00784193"/>
    <w:rsid w:val="007A21D8"/>
    <w:rsid w:val="007A7BC6"/>
    <w:rsid w:val="007B059F"/>
    <w:rsid w:val="007C267A"/>
    <w:rsid w:val="007C3DF3"/>
    <w:rsid w:val="007C74D3"/>
    <w:rsid w:val="007D72A7"/>
    <w:rsid w:val="007E52D9"/>
    <w:rsid w:val="007F1756"/>
    <w:rsid w:val="007F25A7"/>
    <w:rsid w:val="0081167D"/>
    <w:rsid w:val="008241DA"/>
    <w:rsid w:val="008271A4"/>
    <w:rsid w:val="0083082D"/>
    <w:rsid w:val="008364AB"/>
    <w:rsid w:val="00847A73"/>
    <w:rsid w:val="008566C6"/>
    <w:rsid w:val="00876692"/>
    <w:rsid w:val="008944DD"/>
    <w:rsid w:val="008B14DF"/>
    <w:rsid w:val="008C734A"/>
    <w:rsid w:val="008D0891"/>
    <w:rsid w:val="008E4FAB"/>
    <w:rsid w:val="00906E3D"/>
    <w:rsid w:val="009075B2"/>
    <w:rsid w:val="009344CF"/>
    <w:rsid w:val="00957327"/>
    <w:rsid w:val="00960399"/>
    <w:rsid w:val="00963076"/>
    <w:rsid w:val="00967377"/>
    <w:rsid w:val="009730D8"/>
    <w:rsid w:val="00982A93"/>
    <w:rsid w:val="0098520D"/>
    <w:rsid w:val="00986922"/>
    <w:rsid w:val="00986C1F"/>
    <w:rsid w:val="00990319"/>
    <w:rsid w:val="009903B2"/>
    <w:rsid w:val="0099413E"/>
    <w:rsid w:val="009A4F97"/>
    <w:rsid w:val="009B1E42"/>
    <w:rsid w:val="009B50DA"/>
    <w:rsid w:val="009C2284"/>
    <w:rsid w:val="009C58F4"/>
    <w:rsid w:val="009C68A1"/>
    <w:rsid w:val="009D0AC1"/>
    <w:rsid w:val="00A10F92"/>
    <w:rsid w:val="00A13267"/>
    <w:rsid w:val="00A32E59"/>
    <w:rsid w:val="00A407BC"/>
    <w:rsid w:val="00A453E6"/>
    <w:rsid w:val="00A47172"/>
    <w:rsid w:val="00A80EAA"/>
    <w:rsid w:val="00A857F3"/>
    <w:rsid w:val="00AA14F8"/>
    <w:rsid w:val="00AA2E02"/>
    <w:rsid w:val="00AC0037"/>
    <w:rsid w:val="00AC27D3"/>
    <w:rsid w:val="00AE1D8C"/>
    <w:rsid w:val="00AE54DE"/>
    <w:rsid w:val="00AF02C4"/>
    <w:rsid w:val="00AF241E"/>
    <w:rsid w:val="00B016AE"/>
    <w:rsid w:val="00B04B7F"/>
    <w:rsid w:val="00B341A0"/>
    <w:rsid w:val="00B4363F"/>
    <w:rsid w:val="00B549EC"/>
    <w:rsid w:val="00B56513"/>
    <w:rsid w:val="00B607EE"/>
    <w:rsid w:val="00B64E71"/>
    <w:rsid w:val="00B81801"/>
    <w:rsid w:val="00B866F0"/>
    <w:rsid w:val="00B86B3B"/>
    <w:rsid w:val="00BC0968"/>
    <w:rsid w:val="00C168F0"/>
    <w:rsid w:val="00C2515A"/>
    <w:rsid w:val="00C55F00"/>
    <w:rsid w:val="00C61892"/>
    <w:rsid w:val="00C666F8"/>
    <w:rsid w:val="00C740B9"/>
    <w:rsid w:val="00C85023"/>
    <w:rsid w:val="00CA668D"/>
    <w:rsid w:val="00CB0804"/>
    <w:rsid w:val="00CB5192"/>
    <w:rsid w:val="00CD060F"/>
    <w:rsid w:val="00CD4460"/>
    <w:rsid w:val="00CD777A"/>
    <w:rsid w:val="00CE1CDF"/>
    <w:rsid w:val="00D00574"/>
    <w:rsid w:val="00D05C62"/>
    <w:rsid w:val="00D11D6B"/>
    <w:rsid w:val="00D320D6"/>
    <w:rsid w:val="00D338A2"/>
    <w:rsid w:val="00D33B30"/>
    <w:rsid w:val="00D411DB"/>
    <w:rsid w:val="00D54E47"/>
    <w:rsid w:val="00D63A51"/>
    <w:rsid w:val="00D65EFF"/>
    <w:rsid w:val="00D66432"/>
    <w:rsid w:val="00D67EC0"/>
    <w:rsid w:val="00D76FA0"/>
    <w:rsid w:val="00D8307D"/>
    <w:rsid w:val="00D84B98"/>
    <w:rsid w:val="00D92F2F"/>
    <w:rsid w:val="00DA2BC8"/>
    <w:rsid w:val="00DC0A07"/>
    <w:rsid w:val="00DD190D"/>
    <w:rsid w:val="00DD1D17"/>
    <w:rsid w:val="00DD5571"/>
    <w:rsid w:val="00DE1C6D"/>
    <w:rsid w:val="00DF04A4"/>
    <w:rsid w:val="00DF27EF"/>
    <w:rsid w:val="00DF6C29"/>
    <w:rsid w:val="00E06539"/>
    <w:rsid w:val="00E0730A"/>
    <w:rsid w:val="00E1150D"/>
    <w:rsid w:val="00E20916"/>
    <w:rsid w:val="00E32F89"/>
    <w:rsid w:val="00E33400"/>
    <w:rsid w:val="00E36A48"/>
    <w:rsid w:val="00E420AE"/>
    <w:rsid w:val="00E440BC"/>
    <w:rsid w:val="00E47AB4"/>
    <w:rsid w:val="00E52904"/>
    <w:rsid w:val="00E73E0F"/>
    <w:rsid w:val="00E771C1"/>
    <w:rsid w:val="00E77B7A"/>
    <w:rsid w:val="00E9750D"/>
    <w:rsid w:val="00EA3E35"/>
    <w:rsid w:val="00EE26F1"/>
    <w:rsid w:val="00F02D4E"/>
    <w:rsid w:val="00F04BC3"/>
    <w:rsid w:val="00F1265F"/>
    <w:rsid w:val="00F22A9C"/>
    <w:rsid w:val="00F303E6"/>
    <w:rsid w:val="00F3309B"/>
    <w:rsid w:val="00F35A22"/>
    <w:rsid w:val="00F42FDA"/>
    <w:rsid w:val="00F452E0"/>
    <w:rsid w:val="00F5430A"/>
    <w:rsid w:val="00F55A6C"/>
    <w:rsid w:val="00F601CB"/>
    <w:rsid w:val="00F61609"/>
    <w:rsid w:val="00F62C81"/>
    <w:rsid w:val="00F633D5"/>
    <w:rsid w:val="00F64640"/>
    <w:rsid w:val="00F816BA"/>
    <w:rsid w:val="00F821B6"/>
    <w:rsid w:val="00FB3825"/>
    <w:rsid w:val="00FB642F"/>
    <w:rsid w:val="00FD4BFC"/>
    <w:rsid w:val="00FE6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B0674B"/>
  <w15:docId w15:val="{47F8DE3C-94A7-1945-8AA6-946C68B3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3998"/>
    <w:pPr>
      <w:jc w:val="both"/>
    </w:pPr>
    <w:rPr>
      <w:rFonts w:cs="Arial Unicode MS"/>
      <w:color w:val="000000"/>
      <w:sz w:val="24"/>
      <w:szCs w:val="24"/>
      <w:u w:color="000000"/>
    </w:rPr>
  </w:style>
  <w:style w:type="paragraph" w:styleId="Nadpis2">
    <w:name w:val="heading 2"/>
    <w:basedOn w:val="Normln"/>
    <w:next w:val="Normln"/>
    <w:link w:val="Nadpis2Char"/>
    <w:autoRedefine/>
    <w:qFormat/>
    <w:rsid w:val="00D05C62"/>
    <w:pPr>
      <w:keepNext/>
      <w:pBdr>
        <w:top w:val="none" w:sz="0" w:space="0" w:color="auto"/>
        <w:left w:val="none" w:sz="0" w:space="0" w:color="auto"/>
        <w:bottom w:val="none" w:sz="0" w:space="0" w:color="auto"/>
        <w:right w:val="none" w:sz="0" w:space="0" w:color="auto"/>
        <w:between w:val="none" w:sz="0" w:space="0" w:color="auto"/>
        <w:bar w:val="none" w:sz="0" w:color="auto"/>
      </w:pBdr>
      <w:spacing w:before="360" w:after="120"/>
      <w:outlineLvl w:val="1"/>
    </w:pPr>
    <w:rPr>
      <w:rFonts w:ascii="Calibri" w:eastAsia="Times New Roman" w:hAnsi="Calibri" w:cs="Calibri"/>
      <w:b/>
      <w:bCs/>
      <w:iCs/>
      <w:color w:val="auto"/>
      <w:sz w:val="22"/>
      <w:szCs w:val="22"/>
      <w:bdr w:val="none" w:sz="0" w:space="0" w:color="auto"/>
    </w:rPr>
  </w:style>
  <w:style w:type="paragraph" w:styleId="Nadpis3">
    <w:name w:val="heading 3"/>
    <w:basedOn w:val="Normln"/>
    <w:next w:val="Normln"/>
    <w:link w:val="Nadpis3Char"/>
    <w:uiPriority w:val="9"/>
    <w:semiHidden/>
    <w:unhideWhenUsed/>
    <w:qFormat/>
    <w:rsid w:val="00D05C62"/>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36A48"/>
    <w:rPr>
      <w:u w:val="single"/>
    </w:rPr>
  </w:style>
  <w:style w:type="table" w:customStyle="1" w:styleId="TableNormal">
    <w:name w:val="Table Normal"/>
    <w:rsid w:val="00E36A48"/>
    <w:tblPr>
      <w:tblInd w:w="0" w:type="dxa"/>
      <w:tblCellMar>
        <w:top w:w="0" w:type="dxa"/>
        <w:left w:w="0" w:type="dxa"/>
        <w:bottom w:w="0" w:type="dxa"/>
        <w:right w:w="0" w:type="dxa"/>
      </w:tblCellMar>
    </w:tblPr>
  </w:style>
  <w:style w:type="paragraph" w:styleId="Zhlav">
    <w:name w:val="header"/>
    <w:rsid w:val="00E36A48"/>
    <w:pPr>
      <w:tabs>
        <w:tab w:val="center" w:pos="4536"/>
        <w:tab w:val="right" w:pos="9072"/>
      </w:tabs>
      <w:jc w:val="both"/>
    </w:pPr>
    <w:rPr>
      <w:rFonts w:cs="Arial Unicode MS"/>
      <w:color w:val="000000"/>
      <w:sz w:val="24"/>
      <w:szCs w:val="24"/>
      <w:u w:color="000000"/>
    </w:rPr>
  </w:style>
  <w:style w:type="numbering" w:customStyle="1" w:styleId="Importovanstyl2">
    <w:name w:val="Importovaný styl 2"/>
    <w:rsid w:val="00E36A48"/>
    <w:pPr>
      <w:numPr>
        <w:numId w:val="1"/>
      </w:numPr>
    </w:pPr>
  </w:style>
  <w:style w:type="paragraph" w:customStyle="1" w:styleId="Stednmka21">
    <w:name w:val="Střední mřížka 21"/>
    <w:rsid w:val="00E36A48"/>
    <w:pPr>
      <w:jc w:val="both"/>
    </w:pPr>
    <w:rPr>
      <w:rFonts w:cs="Arial Unicode MS"/>
      <w:color w:val="000000"/>
      <w:sz w:val="24"/>
      <w:szCs w:val="24"/>
      <w:u w:color="000000"/>
    </w:rPr>
  </w:style>
  <w:style w:type="numbering" w:customStyle="1" w:styleId="Importovanstyl3">
    <w:name w:val="Importovaný styl 3"/>
    <w:rsid w:val="00E36A48"/>
    <w:pPr>
      <w:numPr>
        <w:numId w:val="3"/>
      </w:numPr>
    </w:pPr>
  </w:style>
  <w:style w:type="paragraph" w:styleId="Odstavecseseznamem">
    <w:name w:val="List Paragraph"/>
    <w:uiPriority w:val="34"/>
    <w:qFormat/>
    <w:rsid w:val="00E36A48"/>
    <w:pPr>
      <w:ind w:left="708"/>
      <w:jc w:val="both"/>
    </w:pPr>
    <w:rPr>
      <w:rFonts w:eastAsia="Times New Roman"/>
      <w:color w:val="000000"/>
      <w:sz w:val="24"/>
      <w:szCs w:val="24"/>
      <w:u w:color="000000"/>
    </w:rPr>
  </w:style>
  <w:style w:type="numbering" w:customStyle="1" w:styleId="Odrky">
    <w:name w:val="Odrážky"/>
    <w:rsid w:val="00E36A48"/>
    <w:pPr>
      <w:numPr>
        <w:numId w:val="6"/>
      </w:numPr>
    </w:pPr>
  </w:style>
  <w:style w:type="paragraph" w:customStyle="1" w:styleId="Text">
    <w:name w:val="Text"/>
    <w:rsid w:val="00E36A48"/>
    <w:rPr>
      <w:rFonts w:ascii="Helvetica Neue" w:hAnsi="Helvetica Neue" w:cs="Arial Unicode MS"/>
      <w:color w:val="000000"/>
      <w:sz w:val="22"/>
      <w:szCs w:val="22"/>
    </w:rPr>
  </w:style>
  <w:style w:type="paragraph" w:styleId="Textbubliny">
    <w:name w:val="Balloon Text"/>
    <w:basedOn w:val="Normln"/>
    <w:link w:val="TextbublinyChar"/>
    <w:uiPriority w:val="99"/>
    <w:semiHidden/>
    <w:unhideWhenUsed/>
    <w:rsid w:val="0006343A"/>
    <w:rPr>
      <w:rFonts w:ascii="Tahoma" w:hAnsi="Tahoma" w:cs="Tahoma"/>
      <w:sz w:val="16"/>
      <w:szCs w:val="16"/>
    </w:rPr>
  </w:style>
  <w:style w:type="character" w:customStyle="1" w:styleId="TextbublinyChar">
    <w:name w:val="Text bubliny Char"/>
    <w:basedOn w:val="Standardnpsmoodstavce"/>
    <w:link w:val="Textbubliny"/>
    <w:uiPriority w:val="99"/>
    <w:semiHidden/>
    <w:rsid w:val="0006343A"/>
    <w:rPr>
      <w:rFonts w:ascii="Tahoma" w:hAnsi="Tahoma" w:cs="Tahoma"/>
      <w:color w:val="000000"/>
      <w:sz w:val="16"/>
      <w:szCs w:val="16"/>
      <w:u w:color="000000"/>
    </w:rPr>
  </w:style>
  <w:style w:type="paragraph" w:styleId="Zpat">
    <w:name w:val="footer"/>
    <w:basedOn w:val="Normln"/>
    <w:link w:val="ZpatChar"/>
    <w:unhideWhenUsed/>
    <w:rsid w:val="00DC0A07"/>
    <w:pPr>
      <w:tabs>
        <w:tab w:val="center" w:pos="4536"/>
        <w:tab w:val="right" w:pos="9072"/>
      </w:tabs>
    </w:pPr>
  </w:style>
  <w:style w:type="character" w:customStyle="1" w:styleId="ZpatChar">
    <w:name w:val="Zápatí Char"/>
    <w:basedOn w:val="Standardnpsmoodstavce"/>
    <w:link w:val="Zpat"/>
    <w:uiPriority w:val="99"/>
    <w:rsid w:val="00DC0A07"/>
    <w:rPr>
      <w:rFonts w:cs="Arial Unicode MS"/>
      <w:color w:val="000000"/>
      <w:sz w:val="24"/>
      <w:szCs w:val="24"/>
      <w:u w:color="000000"/>
    </w:rPr>
  </w:style>
  <w:style w:type="character" w:customStyle="1" w:styleId="Zkladntext">
    <w:name w:val="Základní text_"/>
    <w:basedOn w:val="Standardnpsmoodstavce"/>
    <w:link w:val="Zkladntext9"/>
    <w:rsid w:val="00B56513"/>
    <w:rPr>
      <w:rFonts w:ascii="Verdana" w:eastAsia="Verdana" w:hAnsi="Verdana" w:cs="Verdana"/>
      <w:sz w:val="16"/>
      <w:szCs w:val="16"/>
      <w:shd w:val="clear" w:color="auto" w:fill="FFFFFF"/>
    </w:rPr>
  </w:style>
  <w:style w:type="paragraph" w:customStyle="1" w:styleId="Zkladntext9">
    <w:name w:val="Základní text9"/>
    <w:basedOn w:val="Normln"/>
    <w:link w:val="Zkladntext"/>
    <w:rsid w:val="00B56513"/>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180" w:line="0" w:lineRule="atLeast"/>
      <w:ind w:hanging="700"/>
    </w:pPr>
    <w:rPr>
      <w:rFonts w:ascii="Verdana" w:eastAsia="Verdana" w:hAnsi="Verdana" w:cs="Verdana"/>
      <w:color w:val="auto"/>
      <w:sz w:val="16"/>
      <w:szCs w:val="16"/>
    </w:rPr>
  </w:style>
  <w:style w:type="paragraph" w:styleId="Normlnweb">
    <w:name w:val="Normal (Web)"/>
    <w:basedOn w:val="Normln"/>
    <w:uiPriority w:val="99"/>
    <w:unhideWhenUsed/>
    <w:rsid w:val="0083082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eastAsia="Times New Roman" w:cs="Times New Roman"/>
      <w:color w:val="auto"/>
      <w:bdr w:val="none" w:sz="0" w:space="0" w:color="auto"/>
    </w:rPr>
  </w:style>
  <w:style w:type="character" w:customStyle="1" w:styleId="apple-converted-space">
    <w:name w:val="apple-converted-space"/>
    <w:basedOn w:val="Standardnpsmoodstavce"/>
    <w:rsid w:val="00F821B6"/>
  </w:style>
  <w:style w:type="character" w:customStyle="1" w:styleId="Nadpis2Char">
    <w:name w:val="Nadpis 2 Char"/>
    <w:basedOn w:val="Standardnpsmoodstavce"/>
    <w:link w:val="Nadpis2"/>
    <w:rsid w:val="00D05C62"/>
    <w:rPr>
      <w:rFonts w:ascii="Calibri" w:eastAsia="Times New Roman" w:hAnsi="Calibri" w:cs="Calibri"/>
      <w:b/>
      <w:bCs/>
      <w:iCs/>
      <w:sz w:val="22"/>
      <w:szCs w:val="22"/>
      <w:u w:color="000000"/>
      <w:bdr w:val="none" w:sz="0" w:space="0" w:color="auto"/>
    </w:rPr>
  </w:style>
  <w:style w:type="character" w:customStyle="1" w:styleId="Nadpis3Char">
    <w:name w:val="Nadpis 3 Char"/>
    <w:basedOn w:val="Standardnpsmoodstavce"/>
    <w:link w:val="Nadpis3"/>
    <w:uiPriority w:val="9"/>
    <w:semiHidden/>
    <w:rsid w:val="00D05C62"/>
    <w:rPr>
      <w:rFonts w:asciiTheme="majorHAnsi" w:eastAsiaTheme="majorEastAsia" w:hAnsiTheme="majorHAnsi" w:cstheme="majorBidi"/>
      <w:color w:val="243F60" w:themeColor="accent1" w:themeShade="7F"/>
      <w:sz w:val="24"/>
      <w:szCs w:val="24"/>
      <w:u w:color="000000"/>
    </w:rPr>
  </w:style>
  <w:style w:type="paragraph" w:customStyle="1" w:styleId="Textpsmene">
    <w:name w:val="Text písmene"/>
    <w:rsid w:val="00055F61"/>
    <w:pPr>
      <w:tabs>
        <w:tab w:val="left" w:pos="425"/>
      </w:tabs>
      <w:jc w:val="both"/>
      <w:outlineLvl w:val="2"/>
    </w:pPr>
    <w:rPr>
      <w:rFonts w:cs="Arial Unicode MS"/>
      <w:color w:val="000000"/>
      <w:sz w:val="24"/>
      <w:szCs w:val="24"/>
      <w:u w:color="000000"/>
    </w:rPr>
  </w:style>
  <w:style w:type="paragraph" w:customStyle="1" w:styleId="TextB">
    <w:name w:val="Text B"/>
    <w:rsid w:val="0059335A"/>
    <w:rPr>
      <w:rFonts w:cs="Arial Unicode MS"/>
      <w:color w:val="000000"/>
      <w:sz w:val="24"/>
      <w:szCs w:val="24"/>
      <w:u w:color="000000"/>
    </w:rPr>
  </w:style>
  <w:style w:type="paragraph" w:customStyle="1" w:styleId="VchozA">
    <w:name w:val="Výchozí A"/>
    <w:rsid w:val="00563D5A"/>
    <w:rPr>
      <w:rFonts w:ascii="Helvetica Neue" w:eastAsia="Helvetica Neue" w:hAnsi="Helvetica Neue" w:cs="Helvetica Neue"/>
      <w:color w:val="000000"/>
      <w:sz w:val="22"/>
      <w:szCs w:val="22"/>
      <w:u w:color="000000"/>
    </w:rPr>
  </w:style>
  <w:style w:type="paragraph" w:customStyle="1" w:styleId="Textbodyindent">
    <w:name w:val="Text body indent"/>
    <w:basedOn w:val="Normln"/>
    <w:rsid w:val="00A32E59"/>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ind w:left="284" w:firstLine="426"/>
      <w:jc w:val="left"/>
      <w:textAlignment w:val="baseline"/>
    </w:pPr>
    <w:rPr>
      <w:rFonts w:eastAsia="Times New Roman" w:cs="Times New Roman"/>
      <w:color w:val="auto"/>
      <w:kern w:val="3"/>
      <w:szCs w:val="20"/>
      <w:bdr w:val="none" w:sz="0" w:space="0" w:color="auto"/>
    </w:rPr>
  </w:style>
  <w:style w:type="paragraph" w:customStyle="1" w:styleId="Standard">
    <w:name w:val="Standard"/>
    <w:rsid w:val="001639F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Times New Roman"/>
      <w:kern w:val="3"/>
      <w:bdr w:val="none" w:sz="0" w:space="0" w:color="auto"/>
    </w:rPr>
  </w:style>
  <w:style w:type="character" w:styleId="Zdraznn">
    <w:name w:val="Emphasis"/>
    <w:basedOn w:val="Standardnpsmoodstavce"/>
    <w:uiPriority w:val="20"/>
    <w:qFormat/>
    <w:rsid w:val="00963076"/>
    <w:rPr>
      <w:i/>
      <w:iCs/>
    </w:rPr>
  </w:style>
  <w:style w:type="paragraph" w:customStyle="1" w:styleId="Textodstavce">
    <w:name w:val="Text odstavce"/>
    <w:basedOn w:val="Normln"/>
    <w:rsid w:val="00182DD2"/>
    <w:pPr>
      <w:pBdr>
        <w:top w:val="none" w:sz="0" w:space="0" w:color="auto"/>
        <w:left w:val="none" w:sz="0" w:space="0" w:color="auto"/>
        <w:bottom w:val="none" w:sz="0" w:space="0" w:color="auto"/>
        <w:right w:val="none" w:sz="0" w:space="0" w:color="auto"/>
        <w:between w:val="none" w:sz="0" w:space="0" w:color="auto"/>
        <w:bar w:val="none" w:sz="0" w:color="auto"/>
      </w:pBdr>
      <w:tabs>
        <w:tab w:val="num" w:pos="785"/>
        <w:tab w:val="left" w:pos="851"/>
      </w:tabs>
      <w:spacing w:before="120" w:after="120"/>
      <w:ind w:firstLine="425"/>
      <w:outlineLvl w:val="6"/>
    </w:pPr>
    <w:rPr>
      <w:rFonts w:eastAsia="Times New Roman" w:cs="Times New Roman"/>
      <w:color w:val="auto"/>
      <w:szCs w:val="20"/>
      <w:bdr w:val="none" w:sz="0" w:space="0" w:color="auto"/>
    </w:rPr>
  </w:style>
  <w:style w:type="paragraph" w:customStyle="1" w:styleId="Textbodu">
    <w:name w:val="Text bodu"/>
    <w:basedOn w:val="Normln"/>
    <w:rsid w:val="00182DD2"/>
    <w:p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426"/>
      <w:outlineLvl w:val="8"/>
    </w:pPr>
    <w:rPr>
      <w:rFonts w:eastAsia="Times New Roman" w:cs="Times New Roman"/>
      <w:color w:val="auto"/>
      <w:szCs w:val="20"/>
      <w:bdr w:val="none" w:sz="0" w:space="0" w:color="auto"/>
    </w:rPr>
  </w:style>
  <w:style w:type="paragraph" w:customStyle="1" w:styleId="Prosttext1">
    <w:name w:val="Prostý text1"/>
    <w:basedOn w:val="Normln"/>
    <w:rsid w:val="00990319"/>
    <w:pPr>
      <w:pBdr>
        <w:top w:val="none" w:sz="0" w:space="0" w:color="auto"/>
        <w:left w:val="none" w:sz="0" w:space="0" w:color="auto"/>
        <w:bottom w:val="none" w:sz="0" w:space="0" w:color="auto"/>
        <w:right w:val="none" w:sz="0" w:space="0" w:color="auto"/>
        <w:between w:val="none" w:sz="0" w:space="0" w:color="auto"/>
        <w:bar w:val="none" w:sz="0" w:color="auto"/>
      </w:pBdr>
      <w:suppressAutoHyphens/>
      <w:jc w:val="left"/>
    </w:pPr>
    <w:rPr>
      <w:rFonts w:ascii="Courier New" w:eastAsia="Times New Roman" w:hAnsi="Courier New" w:cs="Times New Roman"/>
      <w:color w:val="auto"/>
      <w:sz w:val="20"/>
      <w:szCs w:val="20"/>
      <w:bdr w:val="none" w:sz="0" w:space="0" w:color="auto"/>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627179">
      <w:bodyDiv w:val="1"/>
      <w:marLeft w:val="0"/>
      <w:marRight w:val="0"/>
      <w:marTop w:val="0"/>
      <w:marBottom w:val="0"/>
      <w:divBdr>
        <w:top w:val="none" w:sz="0" w:space="0" w:color="auto"/>
        <w:left w:val="none" w:sz="0" w:space="0" w:color="auto"/>
        <w:bottom w:val="none" w:sz="0" w:space="0" w:color="auto"/>
        <w:right w:val="none" w:sz="0" w:space="0" w:color="auto"/>
      </w:divBdr>
    </w:div>
    <w:div w:id="794103508">
      <w:bodyDiv w:val="1"/>
      <w:marLeft w:val="0"/>
      <w:marRight w:val="0"/>
      <w:marTop w:val="0"/>
      <w:marBottom w:val="0"/>
      <w:divBdr>
        <w:top w:val="none" w:sz="0" w:space="0" w:color="auto"/>
        <w:left w:val="none" w:sz="0" w:space="0" w:color="auto"/>
        <w:bottom w:val="none" w:sz="0" w:space="0" w:color="auto"/>
        <w:right w:val="none" w:sz="0" w:space="0" w:color="auto"/>
      </w:divBdr>
    </w:div>
    <w:div w:id="1173422431">
      <w:bodyDiv w:val="1"/>
      <w:marLeft w:val="0"/>
      <w:marRight w:val="0"/>
      <w:marTop w:val="0"/>
      <w:marBottom w:val="0"/>
      <w:divBdr>
        <w:top w:val="none" w:sz="0" w:space="0" w:color="auto"/>
        <w:left w:val="none" w:sz="0" w:space="0" w:color="auto"/>
        <w:bottom w:val="none" w:sz="0" w:space="0" w:color="auto"/>
        <w:right w:val="none" w:sz="0" w:space="0" w:color="auto"/>
      </w:divBdr>
      <w:divsChild>
        <w:div w:id="1219122290">
          <w:marLeft w:val="0"/>
          <w:marRight w:val="0"/>
          <w:marTop w:val="0"/>
          <w:marBottom w:val="0"/>
          <w:divBdr>
            <w:top w:val="none" w:sz="0" w:space="0" w:color="auto"/>
            <w:left w:val="none" w:sz="0" w:space="0" w:color="auto"/>
            <w:bottom w:val="none" w:sz="0" w:space="0" w:color="auto"/>
            <w:right w:val="none" w:sz="0" w:space="0" w:color="auto"/>
          </w:divBdr>
          <w:divsChild>
            <w:div w:id="1844469048">
              <w:marLeft w:val="0"/>
              <w:marRight w:val="0"/>
              <w:marTop w:val="0"/>
              <w:marBottom w:val="0"/>
              <w:divBdr>
                <w:top w:val="none" w:sz="0" w:space="0" w:color="auto"/>
                <w:left w:val="none" w:sz="0" w:space="0" w:color="auto"/>
                <w:bottom w:val="none" w:sz="0" w:space="0" w:color="auto"/>
                <w:right w:val="none" w:sz="0" w:space="0" w:color="auto"/>
              </w:divBdr>
              <w:divsChild>
                <w:div w:id="9196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83761">
      <w:bodyDiv w:val="1"/>
      <w:marLeft w:val="0"/>
      <w:marRight w:val="0"/>
      <w:marTop w:val="0"/>
      <w:marBottom w:val="0"/>
      <w:divBdr>
        <w:top w:val="none" w:sz="0" w:space="0" w:color="auto"/>
        <w:left w:val="none" w:sz="0" w:space="0" w:color="auto"/>
        <w:bottom w:val="none" w:sz="0" w:space="0" w:color="auto"/>
        <w:right w:val="none" w:sz="0" w:space="0" w:color="auto"/>
      </w:divBdr>
      <w:divsChild>
        <w:div w:id="17414412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5031593">
              <w:marLeft w:val="0"/>
              <w:marRight w:val="0"/>
              <w:marTop w:val="0"/>
              <w:marBottom w:val="0"/>
              <w:divBdr>
                <w:top w:val="none" w:sz="0" w:space="0" w:color="auto"/>
                <w:left w:val="none" w:sz="0" w:space="0" w:color="auto"/>
                <w:bottom w:val="none" w:sz="0" w:space="0" w:color="auto"/>
                <w:right w:val="none" w:sz="0" w:space="0" w:color="auto"/>
              </w:divBdr>
              <w:divsChild>
                <w:div w:id="152439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23275-3185-7C45-ADAA-9A893FD76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1177</Words>
  <Characters>6947</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Karlos</dc:creator>
  <cp:keywords/>
  <dc:description/>
  <cp:lastModifiedBy>Barbora Kyšková</cp:lastModifiedBy>
  <cp:revision>3</cp:revision>
  <dcterms:created xsi:type="dcterms:W3CDTF">2024-11-23T19:56:00Z</dcterms:created>
  <dcterms:modified xsi:type="dcterms:W3CDTF">2024-11-23T20:00:00Z</dcterms:modified>
</cp:coreProperties>
</file>